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EF3" w:rsidRDefault="00BC5F78" w:rsidP="00BC5F78">
      <w:pPr>
        <w:pStyle w:val="CommentText"/>
        <w:jc w:val="center"/>
        <w:rPr>
          <w:rFonts w:ascii="Garamond" w:eastAsia="SimSun" w:hAnsi="Garamond" w:cs="Tahoma"/>
          <w:b/>
          <w:sz w:val="32"/>
          <w:szCs w:val="32"/>
        </w:rPr>
      </w:pPr>
      <w:bookmarkStart w:id="0" w:name="_GoBack"/>
      <w:bookmarkEnd w:id="0"/>
      <w:r w:rsidRPr="00BC5F78">
        <w:rPr>
          <w:rFonts w:ascii="Garamond" w:eastAsia="SimSun" w:hAnsi="Garamond" w:cs="Tahoma"/>
          <w:b/>
          <w:sz w:val="32"/>
          <w:szCs w:val="32"/>
        </w:rPr>
        <w:t xml:space="preserve">A joint </w:t>
      </w:r>
      <w:r>
        <w:rPr>
          <w:rFonts w:ascii="Garamond" w:eastAsia="SimSun" w:hAnsi="Garamond" w:cs="Tahoma"/>
          <w:b/>
          <w:sz w:val="32"/>
          <w:szCs w:val="32"/>
        </w:rPr>
        <w:t>r</w:t>
      </w:r>
      <w:r w:rsidRPr="00BC5F78">
        <w:rPr>
          <w:rFonts w:ascii="Garamond" w:eastAsia="SimSun" w:hAnsi="Garamond" w:cs="Tahoma"/>
          <w:b/>
          <w:sz w:val="32"/>
          <w:szCs w:val="32"/>
        </w:rPr>
        <w:t xml:space="preserve">oadmap between the Government of Ethiopia and DAG for the </w:t>
      </w:r>
      <w:r w:rsidR="00114635">
        <w:rPr>
          <w:rFonts w:ascii="Garamond" w:eastAsia="SimSun" w:hAnsi="Garamond" w:cs="Tahoma"/>
          <w:b/>
          <w:sz w:val="32"/>
          <w:szCs w:val="32"/>
        </w:rPr>
        <w:t>i</w:t>
      </w:r>
      <w:r w:rsidRPr="00BC5F78">
        <w:rPr>
          <w:rFonts w:ascii="Garamond" w:eastAsia="SimSun" w:hAnsi="Garamond" w:cs="Tahoma"/>
          <w:b/>
          <w:sz w:val="32"/>
          <w:szCs w:val="32"/>
        </w:rPr>
        <w:t xml:space="preserve">mplementation of </w:t>
      </w:r>
      <w:r>
        <w:rPr>
          <w:rFonts w:ascii="Garamond" w:eastAsia="SimSun" w:hAnsi="Garamond" w:cs="Tahoma"/>
          <w:b/>
          <w:sz w:val="32"/>
          <w:szCs w:val="32"/>
        </w:rPr>
        <w:t>the Addis Ababa Action Agenda</w:t>
      </w:r>
      <w:r w:rsidR="00114635">
        <w:rPr>
          <w:rFonts w:ascii="Garamond" w:eastAsia="SimSun" w:hAnsi="Garamond" w:cs="Tahoma"/>
          <w:b/>
          <w:sz w:val="32"/>
          <w:szCs w:val="32"/>
        </w:rPr>
        <w:t xml:space="preserve"> (AAAA)</w:t>
      </w:r>
    </w:p>
    <w:p w:rsidR="00BC5F78" w:rsidRDefault="00BC5F78" w:rsidP="00BC5F78">
      <w:pPr>
        <w:pStyle w:val="CommentText"/>
        <w:rPr>
          <w:rFonts w:ascii="Garamond" w:eastAsia="SimSun" w:hAnsi="Garamond" w:cs="Tahoma"/>
          <w:b/>
          <w:sz w:val="32"/>
          <w:szCs w:val="32"/>
        </w:rPr>
      </w:pPr>
    </w:p>
    <w:p w:rsidR="00A54D88" w:rsidRDefault="00A54D88" w:rsidP="006329EF">
      <w:pPr>
        <w:spacing w:after="0" w:line="336" w:lineRule="auto"/>
        <w:ind w:left="3600" w:hanging="3600"/>
        <w:jc w:val="center"/>
        <w:rPr>
          <w:rFonts w:ascii="Garamond" w:eastAsia="SimSun" w:hAnsi="Garamond" w:cs="Tahoma"/>
          <w:b/>
          <w:sz w:val="32"/>
          <w:szCs w:val="32"/>
        </w:rPr>
      </w:pPr>
    </w:p>
    <w:p w:rsidR="00B53359" w:rsidRDefault="00B53359" w:rsidP="006329EF">
      <w:pPr>
        <w:spacing w:after="0" w:line="336" w:lineRule="auto"/>
        <w:ind w:left="3600" w:hanging="3600"/>
        <w:jc w:val="center"/>
        <w:rPr>
          <w:rFonts w:ascii="Garamond" w:eastAsia="SimSun" w:hAnsi="Garamond" w:cs="Tahoma"/>
          <w:b/>
          <w:sz w:val="32"/>
          <w:szCs w:val="32"/>
        </w:rPr>
      </w:pPr>
    </w:p>
    <w:p w:rsidR="00B53359" w:rsidRDefault="00B53359" w:rsidP="006329EF">
      <w:pPr>
        <w:spacing w:after="0" w:line="336" w:lineRule="auto"/>
        <w:ind w:left="3600" w:hanging="3600"/>
        <w:jc w:val="center"/>
        <w:rPr>
          <w:rFonts w:ascii="Garamond" w:eastAsia="SimSun" w:hAnsi="Garamond" w:cs="Tahoma"/>
          <w:b/>
          <w:sz w:val="32"/>
          <w:szCs w:val="32"/>
        </w:rPr>
      </w:pPr>
    </w:p>
    <w:p w:rsidR="006F2EF3" w:rsidRDefault="000B03FF" w:rsidP="006329EF">
      <w:pPr>
        <w:spacing w:after="0" w:line="336" w:lineRule="auto"/>
        <w:ind w:left="3600" w:hanging="3600"/>
        <w:jc w:val="center"/>
        <w:rPr>
          <w:rFonts w:ascii="Garamond" w:eastAsia="SimSun" w:hAnsi="Garamond" w:cs="Tahoma"/>
          <w:b/>
          <w:sz w:val="32"/>
          <w:szCs w:val="32"/>
        </w:rPr>
      </w:pPr>
      <w:r>
        <w:rPr>
          <w:rFonts w:ascii="Garamond" w:eastAsia="SimSun" w:hAnsi="Garamond" w:cs="Tahoma"/>
          <w:b/>
          <w:sz w:val="32"/>
          <w:szCs w:val="32"/>
        </w:rPr>
        <w:t>Final</w:t>
      </w:r>
    </w:p>
    <w:p w:rsidR="006F2EF3" w:rsidRDefault="006F2EF3" w:rsidP="006F2EF3">
      <w:pPr>
        <w:spacing w:after="0" w:line="336" w:lineRule="auto"/>
        <w:ind w:left="3600" w:hanging="3600"/>
        <w:rPr>
          <w:rFonts w:ascii="Garamond" w:eastAsia="SimSun" w:hAnsi="Garamond" w:cs="Tahoma"/>
          <w:b/>
          <w:sz w:val="32"/>
          <w:szCs w:val="32"/>
        </w:rPr>
      </w:pPr>
    </w:p>
    <w:p w:rsidR="006F2EF3" w:rsidRPr="00F41866" w:rsidRDefault="006F2EF3" w:rsidP="006F2EF3">
      <w:pPr>
        <w:spacing w:after="0" w:line="336" w:lineRule="auto"/>
        <w:ind w:left="3600" w:hanging="3600"/>
        <w:rPr>
          <w:rFonts w:ascii="Garamond" w:eastAsia="SimSun" w:hAnsi="Garamond" w:cs="Tahoma"/>
          <w:b/>
          <w:sz w:val="32"/>
          <w:szCs w:val="32"/>
        </w:rPr>
      </w:pPr>
    </w:p>
    <w:p w:rsidR="006F2EF3" w:rsidRPr="00D953C8" w:rsidRDefault="006F2EF3" w:rsidP="006F2EF3">
      <w:pPr>
        <w:spacing w:after="0"/>
        <w:jc w:val="center"/>
        <w:rPr>
          <w:rFonts w:ascii="Garamond" w:eastAsia="SimSun" w:hAnsi="Garamond" w:cs="Tahoma"/>
          <w:b/>
          <w:sz w:val="32"/>
          <w:szCs w:val="32"/>
        </w:rPr>
      </w:pPr>
      <w:r w:rsidRPr="00D953C8">
        <w:rPr>
          <w:rFonts w:ascii="Garamond" w:eastAsia="SimSun" w:hAnsi="Garamond" w:cs="Tahoma"/>
          <w:b/>
          <w:sz w:val="32"/>
          <w:szCs w:val="32"/>
        </w:rPr>
        <w:t>Tadele Ferede (PhD)</w:t>
      </w:r>
    </w:p>
    <w:p w:rsidR="006F2EF3" w:rsidRPr="00D953C8" w:rsidRDefault="006F2EF3" w:rsidP="006F2EF3">
      <w:pPr>
        <w:spacing w:after="0"/>
        <w:jc w:val="center"/>
        <w:rPr>
          <w:rFonts w:ascii="Garamond" w:eastAsia="SimSun" w:hAnsi="Garamond" w:cs="Tahoma"/>
          <w:b/>
          <w:sz w:val="32"/>
          <w:szCs w:val="32"/>
        </w:rPr>
      </w:pPr>
      <w:r w:rsidRPr="00D953C8">
        <w:rPr>
          <w:rFonts w:ascii="Garamond" w:eastAsia="SimSun" w:hAnsi="Garamond" w:cs="Tahoma"/>
          <w:b/>
          <w:sz w:val="32"/>
          <w:szCs w:val="32"/>
        </w:rPr>
        <w:t>Department of Economics</w:t>
      </w:r>
    </w:p>
    <w:p w:rsidR="006F2EF3" w:rsidRPr="00D953C8" w:rsidRDefault="006F2EF3" w:rsidP="006F2EF3">
      <w:pPr>
        <w:spacing w:after="0"/>
        <w:jc w:val="center"/>
        <w:rPr>
          <w:rFonts w:ascii="Garamond" w:eastAsia="SimSun" w:hAnsi="Garamond" w:cs="Tahoma"/>
          <w:b/>
          <w:sz w:val="32"/>
          <w:szCs w:val="32"/>
        </w:rPr>
      </w:pPr>
      <w:r w:rsidRPr="00D953C8">
        <w:rPr>
          <w:rFonts w:ascii="Garamond" w:eastAsia="SimSun" w:hAnsi="Garamond" w:cs="Tahoma"/>
          <w:b/>
          <w:sz w:val="32"/>
          <w:szCs w:val="32"/>
        </w:rPr>
        <w:t xml:space="preserve">Addis Ababa University </w:t>
      </w:r>
    </w:p>
    <w:p w:rsidR="006F2EF3" w:rsidRDefault="006F2EF3" w:rsidP="006F2EF3">
      <w:r w:rsidRPr="00F41866">
        <w:rPr>
          <w:rFonts w:ascii="Garamond" w:eastAsia="SimSun" w:hAnsi="Garamond" w:cs="Tahoma"/>
          <w:b/>
          <w:color w:val="0000FF"/>
          <w:sz w:val="32"/>
          <w:szCs w:val="32"/>
        </w:rPr>
        <w:t>Email</w:t>
      </w:r>
      <w:r w:rsidRPr="00FF5FA5">
        <w:rPr>
          <w:rFonts w:ascii="Garamond" w:eastAsia="SimSun" w:hAnsi="Garamond" w:cs="Tahoma"/>
          <w:b/>
          <w:color w:val="0000FF"/>
          <w:sz w:val="32"/>
          <w:szCs w:val="32"/>
        </w:rPr>
        <w:t xml:space="preserve">: </w:t>
      </w:r>
      <w:hyperlink r:id="rId8" w:history="1">
        <w:r w:rsidRPr="00FF5FA5">
          <w:rPr>
            <w:rStyle w:val="Hyperlink"/>
            <w:rFonts w:ascii="Garamond" w:eastAsia="SimSun" w:hAnsi="Garamond" w:cs="Tahoma"/>
            <w:b/>
            <w:sz w:val="32"/>
            <w:szCs w:val="32"/>
          </w:rPr>
          <w:t>tadeleferede@yahoo.com</w:t>
        </w:r>
      </w:hyperlink>
      <w:r w:rsidRPr="00FF5FA5">
        <w:rPr>
          <w:rStyle w:val="Hyperlink"/>
          <w:rFonts w:ascii="Garamond" w:eastAsia="SimSun" w:hAnsi="Garamond" w:cs="Tahoma"/>
          <w:b/>
          <w:sz w:val="32"/>
          <w:szCs w:val="32"/>
        </w:rPr>
        <w:t xml:space="preserve">; </w:t>
      </w:r>
      <w:hyperlink r:id="rId9" w:history="1">
        <w:r w:rsidRPr="004F2628">
          <w:rPr>
            <w:rStyle w:val="Hyperlink"/>
            <w:rFonts w:ascii="Garamond" w:eastAsia="SimSun" w:hAnsi="Garamond" w:cs="Tahoma"/>
            <w:b/>
            <w:sz w:val="32"/>
            <w:szCs w:val="32"/>
          </w:rPr>
          <w:t>tadele.ferede@aau.edu.et</w:t>
        </w:r>
      </w:hyperlink>
    </w:p>
    <w:p w:rsidR="006F2EF3" w:rsidRDefault="006F2EF3" w:rsidP="006F2EF3">
      <w:pPr>
        <w:rPr>
          <w:rStyle w:val="Hyperlink"/>
          <w:rFonts w:ascii="Garamond" w:eastAsia="SimSun" w:hAnsi="Garamond" w:cs="Tahoma"/>
          <w:b/>
          <w:sz w:val="32"/>
          <w:szCs w:val="32"/>
        </w:rPr>
      </w:pPr>
    </w:p>
    <w:p w:rsidR="006F2EF3" w:rsidRDefault="006F2EF3" w:rsidP="006F2EF3">
      <w:pPr>
        <w:rPr>
          <w:rStyle w:val="Hyperlink"/>
          <w:rFonts w:ascii="Garamond" w:eastAsia="SimSun" w:hAnsi="Garamond" w:cs="Tahoma"/>
          <w:b/>
          <w:sz w:val="32"/>
          <w:szCs w:val="32"/>
        </w:rPr>
      </w:pPr>
    </w:p>
    <w:p w:rsidR="006F2EF3" w:rsidRDefault="006F2EF3" w:rsidP="006F2EF3">
      <w:pPr>
        <w:rPr>
          <w:rStyle w:val="Hyperlink"/>
          <w:rFonts w:ascii="Garamond" w:eastAsia="SimSun" w:hAnsi="Garamond" w:cs="Tahoma"/>
          <w:b/>
          <w:sz w:val="32"/>
          <w:szCs w:val="32"/>
        </w:rPr>
      </w:pPr>
    </w:p>
    <w:p w:rsidR="006F2EF3" w:rsidRDefault="006F2EF3" w:rsidP="006F2EF3">
      <w:pPr>
        <w:rPr>
          <w:rStyle w:val="Hyperlink"/>
          <w:rFonts w:ascii="Garamond" w:eastAsia="SimSun" w:hAnsi="Garamond" w:cs="Tahoma"/>
          <w:b/>
          <w:sz w:val="32"/>
          <w:szCs w:val="32"/>
        </w:rPr>
      </w:pPr>
    </w:p>
    <w:p w:rsidR="006F2EF3" w:rsidRDefault="006F2EF3" w:rsidP="006F2EF3">
      <w:pPr>
        <w:rPr>
          <w:rStyle w:val="Hyperlink"/>
          <w:rFonts w:ascii="Garamond" w:eastAsia="SimSun" w:hAnsi="Garamond" w:cs="Tahoma"/>
          <w:b/>
          <w:sz w:val="32"/>
          <w:szCs w:val="32"/>
        </w:rPr>
      </w:pPr>
    </w:p>
    <w:p w:rsidR="006F2EF3" w:rsidRDefault="006F2EF3" w:rsidP="006F2EF3">
      <w:pPr>
        <w:jc w:val="right"/>
        <w:rPr>
          <w:rStyle w:val="Hyperlink"/>
          <w:rFonts w:ascii="Garamond" w:eastAsia="SimSun" w:hAnsi="Garamond" w:cs="Tahoma"/>
          <w:b/>
          <w:sz w:val="32"/>
          <w:szCs w:val="32"/>
        </w:rPr>
      </w:pPr>
    </w:p>
    <w:p w:rsidR="006F2EF3" w:rsidRDefault="006F2EF3" w:rsidP="006F2EF3">
      <w:pPr>
        <w:jc w:val="right"/>
        <w:rPr>
          <w:rStyle w:val="Hyperlink"/>
          <w:rFonts w:ascii="Garamond" w:eastAsia="SimSun" w:hAnsi="Garamond" w:cs="Tahoma"/>
          <w:b/>
          <w:sz w:val="32"/>
          <w:szCs w:val="32"/>
        </w:rPr>
      </w:pPr>
    </w:p>
    <w:p w:rsidR="006F2EF3" w:rsidRDefault="006F2EF3" w:rsidP="006F2EF3">
      <w:pPr>
        <w:jc w:val="right"/>
        <w:rPr>
          <w:rStyle w:val="Hyperlink"/>
          <w:rFonts w:ascii="Garamond" w:eastAsia="SimSun" w:hAnsi="Garamond" w:cs="Tahoma"/>
          <w:b/>
          <w:sz w:val="32"/>
          <w:szCs w:val="32"/>
        </w:rPr>
      </w:pPr>
    </w:p>
    <w:p w:rsidR="006F2EF3" w:rsidRPr="00595ACE" w:rsidRDefault="00B47257" w:rsidP="006F2EF3">
      <w:pPr>
        <w:jc w:val="right"/>
        <w:rPr>
          <w:rStyle w:val="Hyperlink"/>
          <w:rFonts w:ascii="Garamond" w:eastAsia="SimSun" w:hAnsi="Garamond" w:cs="Tahoma"/>
          <w:b/>
          <w:sz w:val="32"/>
          <w:szCs w:val="32"/>
          <w:u w:val="none"/>
        </w:rPr>
      </w:pPr>
      <w:r>
        <w:rPr>
          <w:rStyle w:val="Hyperlink"/>
          <w:rFonts w:ascii="Garamond" w:eastAsia="SimSun" w:hAnsi="Garamond" w:cs="Tahoma"/>
          <w:b/>
          <w:sz w:val="32"/>
          <w:szCs w:val="32"/>
          <w:u w:val="none"/>
        </w:rPr>
        <w:t xml:space="preserve">June </w:t>
      </w:r>
      <w:r w:rsidR="006F2EF3" w:rsidRPr="00595ACE">
        <w:rPr>
          <w:rStyle w:val="Hyperlink"/>
          <w:rFonts w:ascii="Garamond" w:eastAsia="SimSun" w:hAnsi="Garamond" w:cs="Tahoma"/>
          <w:b/>
          <w:sz w:val="32"/>
          <w:szCs w:val="32"/>
          <w:u w:val="none"/>
        </w:rPr>
        <w:t>201</w:t>
      </w:r>
      <w:r w:rsidR="00D14892">
        <w:rPr>
          <w:rStyle w:val="Hyperlink"/>
          <w:rFonts w:ascii="Garamond" w:eastAsia="SimSun" w:hAnsi="Garamond" w:cs="Tahoma"/>
          <w:b/>
          <w:sz w:val="32"/>
          <w:szCs w:val="32"/>
          <w:u w:val="none"/>
        </w:rPr>
        <w:t>7</w:t>
      </w:r>
    </w:p>
    <w:p w:rsidR="006F2EF3" w:rsidRPr="00FF5FA5" w:rsidRDefault="006F2EF3" w:rsidP="006F2EF3">
      <w:pPr>
        <w:jc w:val="right"/>
        <w:rPr>
          <w:rFonts w:ascii="Garamond" w:eastAsia="SimSun" w:hAnsi="Garamond" w:cs="Tahoma"/>
          <w:b/>
          <w:color w:val="0000FF"/>
          <w:sz w:val="32"/>
          <w:szCs w:val="32"/>
        </w:rPr>
      </w:pPr>
      <w:r>
        <w:rPr>
          <w:rStyle w:val="Hyperlink"/>
          <w:rFonts w:ascii="Garamond" w:eastAsia="SimSun" w:hAnsi="Garamond" w:cs="Tahoma"/>
          <w:b/>
          <w:sz w:val="32"/>
          <w:szCs w:val="32"/>
        </w:rPr>
        <w:br w:type="page"/>
      </w:r>
    </w:p>
    <w:p w:rsidR="006F2EF3" w:rsidRPr="00647EAC" w:rsidRDefault="006F2EF3" w:rsidP="006F2EF3">
      <w:pPr>
        <w:pStyle w:val="TOCHeading"/>
        <w:pBdr>
          <w:bottom w:val="single" w:sz="4" w:space="1" w:color="auto"/>
        </w:pBdr>
        <w:jc w:val="center"/>
        <w:rPr>
          <w:rFonts w:ascii="Garamond" w:hAnsi="Garamond"/>
          <w:b/>
          <w:sz w:val="24"/>
          <w:szCs w:val="24"/>
        </w:rPr>
      </w:pPr>
      <w:r w:rsidRPr="00647EAC">
        <w:rPr>
          <w:rFonts w:ascii="Garamond" w:hAnsi="Garamond"/>
          <w:b/>
          <w:sz w:val="24"/>
          <w:szCs w:val="24"/>
        </w:rPr>
        <w:lastRenderedPageBreak/>
        <w:t>Table of Contents</w:t>
      </w:r>
    </w:p>
    <w:p w:rsidR="006F2EF3" w:rsidRPr="006C24A4" w:rsidRDefault="006F2EF3" w:rsidP="00DB44BE">
      <w:pPr>
        <w:spacing w:after="0" w:line="360" w:lineRule="auto"/>
        <w:rPr>
          <w:rFonts w:ascii="Garamond" w:hAnsi="Garamond"/>
        </w:rPr>
      </w:pPr>
    </w:p>
    <w:p w:rsidR="00F31347" w:rsidRPr="00F31347" w:rsidRDefault="00BF3BBC"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r w:rsidRPr="00F31347">
        <w:rPr>
          <w:rFonts w:ascii="Garamond" w:hAnsi="Garamond"/>
          <w:sz w:val="24"/>
          <w:szCs w:val="24"/>
        </w:rPr>
        <w:fldChar w:fldCharType="begin"/>
      </w:r>
      <w:r w:rsidR="006F2EF3" w:rsidRPr="00F31347">
        <w:rPr>
          <w:rFonts w:ascii="Garamond" w:hAnsi="Garamond"/>
          <w:sz w:val="24"/>
          <w:szCs w:val="24"/>
        </w:rPr>
        <w:instrText xml:space="preserve"> TOC \o "1-3" \h \z \u </w:instrText>
      </w:r>
      <w:r w:rsidRPr="00F31347">
        <w:rPr>
          <w:rFonts w:ascii="Garamond" w:hAnsi="Garamond"/>
          <w:sz w:val="24"/>
          <w:szCs w:val="24"/>
        </w:rPr>
        <w:fldChar w:fldCharType="separate"/>
      </w:r>
      <w:hyperlink w:anchor="_Toc486782241" w:history="1">
        <w:r w:rsidR="00F31347" w:rsidRPr="00F31347">
          <w:rPr>
            <w:rStyle w:val="Hyperlink"/>
            <w:rFonts w:ascii="Garamond" w:hAnsi="Garamond"/>
            <w:noProof/>
            <w:sz w:val="24"/>
            <w:szCs w:val="24"/>
          </w:rPr>
          <w:t>Acronyms</w:t>
        </w:r>
        <w:r w:rsidR="00F31347" w:rsidRPr="00F31347">
          <w:rPr>
            <w:rFonts w:ascii="Garamond" w:hAnsi="Garamond"/>
            <w:noProof/>
            <w:webHidden/>
            <w:sz w:val="24"/>
            <w:szCs w:val="24"/>
          </w:rPr>
          <w:tab/>
        </w:r>
        <w:r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_Toc486782241 \h </w:instrText>
        </w:r>
        <w:r w:rsidRPr="00F31347">
          <w:rPr>
            <w:rFonts w:ascii="Garamond" w:hAnsi="Garamond"/>
            <w:noProof/>
            <w:webHidden/>
            <w:sz w:val="24"/>
            <w:szCs w:val="24"/>
          </w:rPr>
        </w:r>
        <w:r w:rsidRPr="00F31347">
          <w:rPr>
            <w:rFonts w:ascii="Garamond" w:hAnsi="Garamond"/>
            <w:noProof/>
            <w:webHidden/>
            <w:sz w:val="24"/>
            <w:szCs w:val="24"/>
          </w:rPr>
          <w:fldChar w:fldCharType="separate"/>
        </w:r>
        <w:r w:rsidR="008E05FA">
          <w:rPr>
            <w:rFonts w:ascii="Garamond" w:hAnsi="Garamond"/>
            <w:noProof/>
            <w:webHidden/>
            <w:sz w:val="24"/>
            <w:szCs w:val="24"/>
          </w:rPr>
          <w:t>4</w:t>
        </w:r>
        <w:r w:rsidRPr="00F31347">
          <w:rPr>
            <w:rFonts w:ascii="Garamond" w:hAnsi="Garamond"/>
            <w:noProof/>
            <w:webHidden/>
            <w:sz w:val="24"/>
            <w:szCs w:val="24"/>
          </w:rPr>
          <w:fldChar w:fldCharType="end"/>
        </w:r>
      </w:hyperlink>
    </w:p>
    <w:p w:rsidR="00F31347" w:rsidRPr="00F31347" w:rsidRDefault="00702115"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hyperlink w:anchor="_Toc486782242" w:history="1">
        <w:r w:rsidR="00F31347" w:rsidRPr="00F31347">
          <w:rPr>
            <w:rStyle w:val="Hyperlink"/>
            <w:rFonts w:ascii="Garamond" w:hAnsi="Garamond"/>
            <w:noProof/>
            <w:sz w:val="24"/>
            <w:szCs w:val="24"/>
          </w:rPr>
          <w:t>List of figures</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_Toc486782242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5</w:t>
        </w:r>
        <w:r w:rsidR="00BF3BBC" w:rsidRPr="00F31347">
          <w:rPr>
            <w:rFonts w:ascii="Garamond" w:hAnsi="Garamond"/>
            <w:noProof/>
            <w:webHidden/>
            <w:sz w:val="24"/>
            <w:szCs w:val="24"/>
          </w:rPr>
          <w:fldChar w:fldCharType="end"/>
        </w:r>
      </w:hyperlink>
    </w:p>
    <w:p w:rsidR="00F31347" w:rsidRPr="00F31347" w:rsidRDefault="00702115"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hyperlink w:anchor="_Toc486782243" w:history="1">
        <w:r w:rsidR="00F31347" w:rsidRPr="00F31347">
          <w:rPr>
            <w:rStyle w:val="Hyperlink"/>
            <w:rFonts w:ascii="Garamond" w:hAnsi="Garamond"/>
            <w:noProof/>
            <w:sz w:val="24"/>
            <w:szCs w:val="24"/>
          </w:rPr>
          <w:t>List of tables</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_Toc486782243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5</w:t>
        </w:r>
        <w:r w:rsidR="00BF3BBC" w:rsidRPr="00F31347">
          <w:rPr>
            <w:rFonts w:ascii="Garamond" w:hAnsi="Garamond"/>
            <w:noProof/>
            <w:webHidden/>
            <w:sz w:val="24"/>
            <w:szCs w:val="24"/>
          </w:rPr>
          <w:fldChar w:fldCharType="end"/>
        </w:r>
      </w:hyperlink>
    </w:p>
    <w:p w:rsidR="00F31347" w:rsidRPr="00F31347" w:rsidRDefault="00702115"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hyperlink w:anchor="_Toc486782244" w:history="1">
        <w:r w:rsidR="00F31347" w:rsidRPr="00F31347">
          <w:rPr>
            <w:rStyle w:val="Hyperlink"/>
            <w:rFonts w:ascii="Garamond" w:hAnsi="Garamond"/>
            <w:noProof/>
            <w:sz w:val="24"/>
            <w:szCs w:val="24"/>
          </w:rPr>
          <w:t>Acknowledgment</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_Toc486782244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7</w:t>
        </w:r>
        <w:r w:rsidR="00BF3BBC" w:rsidRPr="00F31347">
          <w:rPr>
            <w:rFonts w:ascii="Garamond" w:hAnsi="Garamond"/>
            <w:noProof/>
            <w:webHidden/>
            <w:sz w:val="24"/>
            <w:szCs w:val="24"/>
          </w:rPr>
          <w:fldChar w:fldCharType="end"/>
        </w:r>
      </w:hyperlink>
    </w:p>
    <w:p w:rsidR="00F31347" w:rsidRPr="00F31347" w:rsidRDefault="00702115"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hyperlink w:anchor="_Toc486782245" w:history="1">
        <w:r w:rsidR="00F31347" w:rsidRPr="00F31347">
          <w:rPr>
            <w:rStyle w:val="Hyperlink"/>
            <w:rFonts w:ascii="Garamond" w:hAnsi="Garamond"/>
            <w:noProof/>
            <w:sz w:val="24"/>
            <w:szCs w:val="24"/>
          </w:rPr>
          <w:t>Executive summary</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_Toc486782245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8</w:t>
        </w:r>
        <w:r w:rsidR="00BF3BBC" w:rsidRPr="00F31347">
          <w:rPr>
            <w:rFonts w:ascii="Garamond" w:hAnsi="Garamond"/>
            <w:noProof/>
            <w:webHidden/>
            <w:sz w:val="24"/>
            <w:szCs w:val="24"/>
          </w:rPr>
          <w:fldChar w:fldCharType="end"/>
        </w:r>
      </w:hyperlink>
    </w:p>
    <w:p w:rsidR="00F31347" w:rsidRPr="00F31347" w:rsidRDefault="00702115"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hyperlink w:anchor="_Toc486782246" w:history="1">
        <w:r w:rsidR="00F31347" w:rsidRPr="00F31347">
          <w:rPr>
            <w:rStyle w:val="Hyperlink"/>
            <w:rFonts w:ascii="Garamond" w:hAnsi="Garamond"/>
            <w:iCs/>
            <w:noProof/>
            <w:sz w:val="24"/>
            <w:szCs w:val="24"/>
          </w:rPr>
          <w:t>1. The context</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_Toc486782246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15</w:t>
        </w:r>
        <w:r w:rsidR="00BF3BBC" w:rsidRPr="00F31347">
          <w:rPr>
            <w:rFonts w:ascii="Garamond" w:hAnsi="Garamond"/>
            <w:noProof/>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47" w:history="1">
        <w:r w:rsidR="00F31347" w:rsidRPr="00F31347">
          <w:rPr>
            <w:rStyle w:val="Hyperlink"/>
            <w:sz w:val="24"/>
            <w:szCs w:val="24"/>
            <w:lang w:val="en-PH" w:eastAsia="en-PH"/>
          </w:rPr>
          <w:t>1.1 Background</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_Toc486782247 \h </w:instrText>
        </w:r>
        <w:r w:rsidR="00BF3BBC" w:rsidRPr="00F31347">
          <w:rPr>
            <w:webHidden/>
            <w:sz w:val="24"/>
            <w:szCs w:val="24"/>
          </w:rPr>
        </w:r>
        <w:r w:rsidR="00BF3BBC" w:rsidRPr="00F31347">
          <w:rPr>
            <w:webHidden/>
            <w:sz w:val="24"/>
            <w:szCs w:val="24"/>
          </w:rPr>
          <w:fldChar w:fldCharType="separate"/>
        </w:r>
        <w:r w:rsidR="008E05FA">
          <w:rPr>
            <w:webHidden/>
            <w:sz w:val="24"/>
            <w:szCs w:val="24"/>
          </w:rPr>
          <w:t>15</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48" w:history="1">
        <w:r w:rsidR="00F31347" w:rsidRPr="00F31347">
          <w:rPr>
            <w:rStyle w:val="Hyperlink"/>
            <w:iCs/>
            <w:sz w:val="24"/>
            <w:szCs w:val="24"/>
          </w:rPr>
          <w:t>1.2 Objectives</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_Toc486782248 \h </w:instrText>
        </w:r>
        <w:r w:rsidR="00BF3BBC" w:rsidRPr="00F31347">
          <w:rPr>
            <w:webHidden/>
            <w:sz w:val="24"/>
            <w:szCs w:val="24"/>
          </w:rPr>
        </w:r>
        <w:r w:rsidR="00BF3BBC" w:rsidRPr="00F31347">
          <w:rPr>
            <w:webHidden/>
            <w:sz w:val="24"/>
            <w:szCs w:val="24"/>
          </w:rPr>
          <w:fldChar w:fldCharType="separate"/>
        </w:r>
        <w:r w:rsidR="008E05FA">
          <w:rPr>
            <w:webHidden/>
            <w:sz w:val="24"/>
            <w:szCs w:val="24"/>
          </w:rPr>
          <w:t>17</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49" w:history="1">
        <w:r w:rsidR="00F31347" w:rsidRPr="00F31347">
          <w:rPr>
            <w:rStyle w:val="Hyperlink"/>
            <w:sz w:val="24"/>
            <w:szCs w:val="24"/>
          </w:rPr>
          <w:t>1.3 Methodology and Approach</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_Toc486782249 \h </w:instrText>
        </w:r>
        <w:r w:rsidR="00BF3BBC" w:rsidRPr="00F31347">
          <w:rPr>
            <w:webHidden/>
            <w:sz w:val="24"/>
            <w:szCs w:val="24"/>
          </w:rPr>
        </w:r>
        <w:r w:rsidR="00BF3BBC" w:rsidRPr="00F31347">
          <w:rPr>
            <w:webHidden/>
            <w:sz w:val="24"/>
            <w:szCs w:val="24"/>
          </w:rPr>
          <w:fldChar w:fldCharType="separate"/>
        </w:r>
        <w:r w:rsidR="008E05FA">
          <w:rPr>
            <w:webHidden/>
            <w:sz w:val="24"/>
            <w:szCs w:val="24"/>
          </w:rPr>
          <w:t>17</w:t>
        </w:r>
        <w:r w:rsidR="00BF3BBC" w:rsidRPr="00F31347">
          <w:rPr>
            <w:webHidden/>
            <w:sz w:val="24"/>
            <w:szCs w:val="24"/>
          </w:rPr>
          <w:fldChar w:fldCharType="end"/>
        </w:r>
      </w:hyperlink>
    </w:p>
    <w:p w:rsidR="00F31347" w:rsidRPr="00F31347" w:rsidRDefault="00702115" w:rsidP="00C913A0">
      <w:pPr>
        <w:pStyle w:val="TOC3"/>
        <w:tabs>
          <w:tab w:val="right" w:leader="dot" w:pos="9350"/>
        </w:tabs>
        <w:spacing w:after="0" w:line="360" w:lineRule="auto"/>
        <w:rPr>
          <w:rFonts w:ascii="Garamond" w:eastAsiaTheme="minorEastAsia" w:hAnsi="Garamond" w:cstheme="minorBidi"/>
          <w:noProof/>
          <w:sz w:val="24"/>
          <w:szCs w:val="24"/>
          <w:lang w:val="en-GB" w:eastAsia="en-GB"/>
        </w:rPr>
      </w:pPr>
      <w:hyperlink w:anchor="_Toc486782250" w:history="1">
        <w:r w:rsidR="00F31347" w:rsidRPr="00F31347">
          <w:rPr>
            <w:rStyle w:val="Hyperlink"/>
            <w:rFonts w:ascii="Garamond" w:hAnsi="Garamond"/>
            <w:noProof/>
            <w:sz w:val="24"/>
            <w:szCs w:val="24"/>
          </w:rPr>
          <w:t>1.3.1 Overall analytical approach</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_Toc486782250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17</w:t>
        </w:r>
        <w:r w:rsidR="00BF3BBC" w:rsidRPr="00F31347">
          <w:rPr>
            <w:rFonts w:ascii="Garamond" w:hAnsi="Garamond"/>
            <w:noProof/>
            <w:webHidden/>
            <w:sz w:val="24"/>
            <w:szCs w:val="24"/>
          </w:rPr>
          <w:fldChar w:fldCharType="end"/>
        </w:r>
      </w:hyperlink>
    </w:p>
    <w:p w:rsidR="00F31347" w:rsidRPr="00F31347" w:rsidRDefault="00702115" w:rsidP="00C913A0">
      <w:pPr>
        <w:pStyle w:val="TOC3"/>
        <w:tabs>
          <w:tab w:val="right" w:leader="dot" w:pos="9350"/>
        </w:tabs>
        <w:spacing w:after="0" w:line="360" w:lineRule="auto"/>
        <w:rPr>
          <w:rFonts w:ascii="Garamond" w:eastAsiaTheme="minorEastAsia" w:hAnsi="Garamond" w:cstheme="minorBidi"/>
          <w:noProof/>
          <w:sz w:val="24"/>
          <w:szCs w:val="24"/>
          <w:lang w:val="en-GB" w:eastAsia="en-GB"/>
        </w:rPr>
      </w:pPr>
      <w:hyperlink w:anchor="_Toc486782251" w:history="1">
        <w:r w:rsidR="00F31347" w:rsidRPr="00F31347">
          <w:rPr>
            <w:rStyle w:val="Hyperlink"/>
            <w:rFonts w:ascii="Garamond" w:hAnsi="Garamond"/>
            <w:noProof/>
            <w:sz w:val="24"/>
            <w:szCs w:val="24"/>
          </w:rPr>
          <w:t>1.3.2 Operational framework</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_Toc486782251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19</w:t>
        </w:r>
        <w:r w:rsidR="00BF3BBC" w:rsidRPr="00F31347">
          <w:rPr>
            <w:rFonts w:ascii="Garamond" w:hAnsi="Garamond"/>
            <w:noProof/>
            <w:webHidden/>
            <w:sz w:val="24"/>
            <w:szCs w:val="24"/>
          </w:rPr>
          <w:fldChar w:fldCharType="end"/>
        </w:r>
      </w:hyperlink>
    </w:p>
    <w:p w:rsidR="00F31347" w:rsidRPr="00F31347" w:rsidRDefault="00702115"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hyperlink w:anchor="_Toc486782252" w:history="1">
        <w:r w:rsidR="00F31347" w:rsidRPr="00F31347">
          <w:rPr>
            <w:rStyle w:val="Hyperlink"/>
            <w:rFonts w:ascii="Garamond" w:hAnsi="Garamond"/>
            <w:noProof/>
            <w:sz w:val="24"/>
            <w:szCs w:val="24"/>
            <w:lang w:val="en-PH" w:eastAsia="en-PH"/>
          </w:rPr>
          <w:t>2. An overview of the Addis Ababa Action Agenda</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_Toc486782252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20</w:t>
        </w:r>
        <w:r w:rsidR="00BF3BBC" w:rsidRPr="00F31347">
          <w:rPr>
            <w:rFonts w:ascii="Garamond" w:hAnsi="Garamond"/>
            <w:noProof/>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53" w:history="1">
        <w:r w:rsidR="00F31347" w:rsidRPr="00F31347">
          <w:rPr>
            <w:rStyle w:val="Hyperlink"/>
            <w:sz w:val="24"/>
            <w:szCs w:val="24"/>
            <w:lang w:val="en-PH" w:eastAsia="en-PH"/>
          </w:rPr>
          <w:t xml:space="preserve">2.1 </w:t>
        </w:r>
        <w:r w:rsidR="00F31347" w:rsidRPr="00F31347">
          <w:rPr>
            <w:rStyle w:val="Hyperlink"/>
            <w:sz w:val="24"/>
            <w:szCs w:val="24"/>
          </w:rPr>
          <w:t>From Monterrey to Doha</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_Toc486782253 \h </w:instrText>
        </w:r>
        <w:r w:rsidR="00BF3BBC" w:rsidRPr="00F31347">
          <w:rPr>
            <w:webHidden/>
            <w:sz w:val="24"/>
            <w:szCs w:val="24"/>
          </w:rPr>
        </w:r>
        <w:r w:rsidR="00BF3BBC" w:rsidRPr="00F31347">
          <w:rPr>
            <w:webHidden/>
            <w:sz w:val="24"/>
            <w:szCs w:val="24"/>
          </w:rPr>
          <w:fldChar w:fldCharType="separate"/>
        </w:r>
        <w:r w:rsidR="008E05FA">
          <w:rPr>
            <w:webHidden/>
            <w:sz w:val="24"/>
            <w:szCs w:val="24"/>
          </w:rPr>
          <w:t>20</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54" w:history="1">
        <w:r w:rsidR="00F31347" w:rsidRPr="00F31347">
          <w:rPr>
            <w:rStyle w:val="Hyperlink"/>
            <w:sz w:val="24"/>
            <w:szCs w:val="24"/>
            <w:lang w:val="en-PH" w:eastAsia="en-PH"/>
          </w:rPr>
          <w:t xml:space="preserve">2.2 From </w:t>
        </w:r>
        <w:r w:rsidR="00F31347" w:rsidRPr="00F31347">
          <w:rPr>
            <w:rStyle w:val="Hyperlink"/>
            <w:rFonts w:cs="Tahoma"/>
            <w:sz w:val="24"/>
            <w:szCs w:val="24"/>
          </w:rPr>
          <w:t>Monterrey</w:t>
        </w:r>
        <w:r w:rsidR="00F31347" w:rsidRPr="00F31347">
          <w:rPr>
            <w:rStyle w:val="Hyperlink"/>
            <w:sz w:val="24"/>
            <w:szCs w:val="24"/>
            <w:lang w:val="en-PH" w:eastAsia="en-PH"/>
          </w:rPr>
          <w:t xml:space="preserve"> to Addis Ababa: The Addis Ababa Action Agenda (AAAA)</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_Toc486782254 \h </w:instrText>
        </w:r>
        <w:r w:rsidR="00BF3BBC" w:rsidRPr="00F31347">
          <w:rPr>
            <w:webHidden/>
            <w:sz w:val="24"/>
            <w:szCs w:val="24"/>
          </w:rPr>
        </w:r>
        <w:r w:rsidR="00BF3BBC" w:rsidRPr="00F31347">
          <w:rPr>
            <w:webHidden/>
            <w:sz w:val="24"/>
            <w:szCs w:val="24"/>
          </w:rPr>
          <w:fldChar w:fldCharType="separate"/>
        </w:r>
        <w:r w:rsidR="008E05FA">
          <w:rPr>
            <w:webHidden/>
            <w:sz w:val="24"/>
            <w:szCs w:val="24"/>
          </w:rPr>
          <w:t>20</w:t>
        </w:r>
        <w:r w:rsidR="00BF3BBC" w:rsidRPr="00F31347">
          <w:rPr>
            <w:webHidden/>
            <w:sz w:val="24"/>
            <w:szCs w:val="24"/>
          </w:rPr>
          <w:fldChar w:fldCharType="end"/>
        </w:r>
      </w:hyperlink>
    </w:p>
    <w:p w:rsidR="00F31347" w:rsidRPr="00F31347" w:rsidRDefault="00702115"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hyperlink w:anchor="_Toc486782255" w:history="1">
        <w:r w:rsidR="00F31347" w:rsidRPr="00F31347">
          <w:rPr>
            <w:rStyle w:val="Hyperlink"/>
            <w:rFonts w:ascii="Garamond" w:hAnsi="Garamond"/>
            <w:noProof/>
            <w:sz w:val="24"/>
            <w:szCs w:val="24"/>
          </w:rPr>
          <w:t>3. Development policies, strategies and plans and sustainable development frameworks</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_Toc486782255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23</w:t>
        </w:r>
        <w:r w:rsidR="00BF3BBC" w:rsidRPr="00F31347">
          <w:rPr>
            <w:rFonts w:ascii="Garamond" w:hAnsi="Garamond"/>
            <w:noProof/>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56" w:history="1">
        <w:r w:rsidR="00F31347" w:rsidRPr="00F31347">
          <w:rPr>
            <w:rStyle w:val="Hyperlink"/>
            <w:rFonts w:eastAsia="Arial Unicode MS"/>
            <w:sz w:val="24"/>
            <w:szCs w:val="24"/>
          </w:rPr>
          <w:t>3.1 Review international policies and strategies and initiatives/programs</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_Toc486782256 \h </w:instrText>
        </w:r>
        <w:r w:rsidR="00BF3BBC" w:rsidRPr="00F31347">
          <w:rPr>
            <w:webHidden/>
            <w:sz w:val="24"/>
            <w:szCs w:val="24"/>
          </w:rPr>
        </w:r>
        <w:r w:rsidR="00BF3BBC" w:rsidRPr="00F31347">
          <w:rPr>
            <w:webHidden/>
            <w:sz w:val="24"/>
            <w:szCs w:val="24"/>
          </w:rPr>
          <w:fldChar w:fldCharType="separate"/>
        </w:r>
        <w:r w:rsidR="008E05FA">
          <w:rPr>
            <w:webHidden/>
            <w:sz w:val="24"/>
            <w:szCs w:val="24"/>
          </w:rPr>
          <w:t>23</w:t>
        </w:r>
        <w:r w:rsidR="00BF3BBC" w:rsidRPr="00F31347">
          <w:rPr>
            <w:webHidden/>
            <w:sz w:val="24"/>
            <w:szCs w:val="24"/>
          </w:rPr>
          <w:fldChar w:fldCharType="end"/>
        </w:r>
      </w:hyperlink>
    </w:p>
    <w:p w:rsidR="00F31347" w:rsidRPr="00F31347" w:rsidRDefault="00702115" w:rsidP="00C913A0">
      <w:pPr>
        <w:pStyle w:val="TOC3"/>
        <w:tabs>
          <w:tab w:val="right" w:leader="dot" w:pos="9350"/>
        </w:tabs>
        <w:spacing w:after="0" w:line="360" w:lineRule="auto"/>
        <w:rPr>
          <w:rFonts w:ascii="Garamond" w:eastAsiaTheme="minorEastAsia" w:hAnsi="Garamond" w:cstheme="minorBidi"/>
          <w:noProof/>
          <w:sz w:val="24"/>
          <w:szCs w:val="24"/>
          <w:lang w:val="en-GB" w:eastAsia="en-GB"/>
        </w:rPr>
      </w:pPr>
      <w:hyperlink w:anchor="_Toc486782257" w:history="1">
        <w:r w:rsidR="00F31347" w:rsidRPr="00F31347">
          <w:rPr>
            <w:rStyle w:val="Hyperlink"/>
            <w:rFonts w:ascii="Garamond" w:hAnsi="Garamond"/>
            <w:noProof/>
            <w:sz w:val="24"/>
            <w:szCs w:val="24"/>
          </w:rPr>
          <w:t>3.1.1 Global sustainable development frameworks: The 2030 Agenda</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_Toc486782257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23</w:t>
        </w:r>
        <w:r w:rsidR="00BF3BBC" w:rsidRPr="00F31347">
          <w:rPr>
            <w:rFonts w:ascii="Garamond" w:hAnsi="Garamond"/>
            <w:noProof/>
            <w:webHidden/>
            <w:sz w:val="24"/>
            <w:szCs w:val="24"/>
          </w:rPr>
          <w:fldChar w:fldCharType="end"/>
        </w:r>
      </w:hyperlink>
    </w:p>
    <w:p w:rsidR="00F31347" w:rsidRPr="00F31347" w:rsidRDefault="00702115" w:rsidP="00C913A0">
      <w:pPr>
        <w:pStyle w:val="TOC3"/>
        <w:tabs>
          <w:tab w:val="right" w:leader="dot" w:pos="9350"/>
        </w:tabs>
        <w:spacing w:after="0" w:line="360" w:lineRule="auto"/>
        <w:rPr>
          <w:rFonts w:ascii="Garamond" w:eastAsiaTheme="minorEastAsia" w:hAnsi="Garamond" w:cstheme="minorBidi"/>
          <w:noProof/>
          <w:sz w:val="24"/>
          <w:szCs w:val="24"/>
          <w:lang w:val="en-GB" w:eastAsia="en-GB"/>
        </w:rPr>
      </w:pPr>
      <w:hyperlink w:anchor="_Toc486782258" w:history="1">
        <w:r w:rsidR="00F31347" w:rsidRPr="00F31347">
          <w:rPr>
            <w:rStyle w:val="Hyperlink"/>
            <w:rFonts w:ascii="Garamond" w:hAnsi="Garamond"/>
            <w:noProof/>
            <w:sz w:val="24"/>
            <w:szCs w:val="24"/>
          </w:rPr>
          <w:t>3.1.2 Regional sustainable development frameworks: Agenda 2063</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_Toc486782258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24</w:t>
        </w:r>
        <w:r w:rsidR="00BF3BBC" w:rsidRPr="00F31347">
          <w:rPr>
            <w:rFonts w:ascii="Garamond" w:hAnsi="Garamond"/>
            <w:noProof/>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59" w:history="1">
        <w:r w:rsidR="00F31347" w:rsidRPr="00F31347">
          <w:rPr>
            <w:rStyle w:val="Hyperlink"/>
            <w:sz w:val="24"/>
            <w:szCs w:val="24"/>
          </w:rPr>
          <w:t>3.2 Review of national development policies, strategies and plans</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_Toc486782259 \h </w:instrText>
        </w:r>
        <w:r w:rsidR="00BF3BBC" w:rsidRPr="00F31347">
          <w:rPr>
            <w:webHidden/>
            <w:sz w:val="24"/>
            <w:szCs w:val="24"/>
          </w:rPr>
        </w:r>
        <w:r w:rsidR="00BF3BBC" w:rsidRPr="00F31347">
          <w:rPr>
            <w:webHidden/>
            <w:sz w:val="24"/>
            <w:szCs w:val="24"/>
          </w:rPr>
          <w:fldChar w:fldCharType="separate"/>
        </w:r>
        <w:r w:rsidR="008E05FA">
          <w:rPr>
            <w:webHidden/>
            <w:sz w:val="24"/>
            <w:szCs w:val="24"/>
          </w:rPr>
          <w:t>25</w:t>
        </w:r>
        <w:r w:rsidR="00BF3BBC" w:rsidRPr="00F31347">
          <w:rPr>
            <w:webHidden/>
            <w:sz w:val="24"/>
            <w:szCs w:val="24"/>
          </w:rPr>
          <w:fldChar w:fldCharType="end"/>
        </w:r>
      </w:hyperlink>
    </w:p>
    <w:p w:rsidR="00F31347" w:rsidRPr="00F31347" w:rsidRDefault="00702115" w:rsidP="00C913A0">
      <w:pPr>
        <w:pStyle w:val="TOC3"/>
        <w:tabs>
          <w:tab w:val="right" w:leader="dot" w:pos="9350"/>
        </w:tabs>
        <w:spacing w:after="0" w:line="360" w:lineRule="auto"/>
        <w:rPr>
          <w:rFonts w:ascii="Garamond" w:eastAsiaTheme="minorEastAsia" w:hAnsi="Garamond" w:cstheme="minorBidi"/>
          <w:noProof/>
          <w:sz w:val="24"/>
          <w:szCs w:val="24"/>
          <w:lang w:val="en-GB" w:eastAsia="en-GB"/>
        </w:rPr>
      </w:pPr>
      <w:hyperlink w:anchor="_Toc486782260" w:history="1">
        <w:r w:rsidR="00F31347" w:rsidRPr="00F31347">
          <w:rPr>
            <w:rStyle w:val="Hyperlink"/>
            <w:rFonts w:ascii="Garamond" w:hAnsi="Garamond"/>
            <w:noProof/>
            <w:sz w:val="24"/>
            <w:szCs w:val="24"/>
          </w:rPr>
          <w:t>3.2.1 The Constitutional framework</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_Toc486782260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25</w:t>
        </w:r>
        <w:r w:rsidR="00BF3BBC" w:rsidRPr="00F31347">
          <w:rPr>
            <w:rFonts w:ascii="Garamond" w:hAnsi="Garamond"/>
            <w:noProof/>
            <w:webHidden/>
            <w:sz w:val="24"/>
            <w:szCs w:val="24"/>
          </w:rPr>
          <w:fldChar w:fldCharType="end"/>
        </w:r>
      </w:hyperlink>
    </w:p>
    <w:p w:rsidR="00F31347" w:rsidRPr="00F31347" w:rsidRDefault="00702115" w:rsidP="00C913A0">
      <w:pPr>
        <w:pStyle w:val="TOC3"/>
        <w:tabs>
          <w:tab w:val="right" w:leader="dot" w:pos="9350"/>
        </w:tabs>
        <w:spacing w:after="0" w:line="360" w:lineRule="auto"/>
        <w:rPr>
          <w:rFonts w:ascii="Garamond" w:eastAsiaTheme="minorEastAsia" w:hAnsi="Garamond" w:cstheme="minorBidi"/>
          <w:noProof/>
          <w:sz w:val="24"/>
          <w:szCs w:val="24"/>
          <w:lang w:val="en-GB" w:eastAsia="en-GB"/>
        </w:rPr>
      </w:pPr>
      <w:hyperlink w:anchor="_Toc486782261" w:history="1">
        <w:r w:rsidR="00F31347" w:rsidRPr="00F31347">
          <w:rPr>
            <w:rStyle w:val="Hyperlink"/>
            <w:rFonts w:ascii="Garamond" w:hAnsi="Garamond"/>
            <w:noProof/>
            <w:sz w:val="24"/>
            <w:szCs w:val="24"/>
          </w:rPr>
          <w:t>3.2.2 The National Vision and Development Policy</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_Toc486782261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26</w:t>
        </w:r>
        <w:r w:rsidR="00BF3BBC" w:rsidRPr="00F31347">
          <w:rPr>
            <w:rFonts w:ascii="Garamond" w:hAnsi="Garamond"/>
            <w:noProof/>
            <w:webHidden/>
            <w:sz w:val="24"/>
            <w:szCs w:val="24"/>
          </w:rPr>
          <w:fldChar w:fldCharType="end"/>
        </w:r>
      </w:hyperlink>
    </w:p>
    <w:p w:rsidR="00F31347" w:rsidRPr="00F31347" w:rsidRDefault="00702115" w:rsidP="00C913A0">
      <w:pPr>
        <w:pStyle w:val="TOC3"/>
        <w:tabs>
          <w:tab w:val="right" w:leader="dot" w:pos="9350"/>
        </w:tabs>
        <w:spacing w:after="0" w:line="360" w:lineRule="auto"/>
        <w:rPr>
          <w:rFonts w:ascii="Garamond" w:eastAsiaTheme="minorEastAsia" w:hAnsi="Garamond" w:cstheme="minorBidi"/>
          <w:noProof/>
          <w:sz w:val="24"/>
          <w:szCs w:val="24"/>
          <w:lang w:val="en-GB" w:eastAsia="en-GB"/>
        </w:rPr>
      </w:pPr>
      <w:hyperlink w:anchor="_Toc486782262" w:history="1">
        <w:r w:rsidR="00F31347" w:rsidRPr="00F31347">
          <w:rPr>
            <w:rStyle w:val="Hyperlink"/>
            <w:rFonts w:ascii="Garamond" w:hAnsi="Garamond"/>
            <w:noProof/>
            <w:sz w:val="24"/>
            <w:szCs w:val="24"/>
          </w:rPr>
          <w:t>3.2.3 Development strategies</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_Toc486782262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26</w:t>
        </w:r>
        <w:r w:rsidR="00BF3BBC" w:rsidRPr="00F31347">
          <w:rPr>
            <w:rFonts w:ascii="Garamond" w:hAnsi="Garamond"/>
            <w:noProof/>
            <w:webHidden/>
            <w:sz w:val="24"/>
            <w:szCs w:val="24"/>
          </w:rPr>
          <w:fldChar w:fldCharType="end"/>
        </w:r>
      </w:hyperlink>
    </w:p>
    <w:p w:rsidR="00F31347" w:rsidRPr="00F31347" w:rsidRDefault="00702115" w:rsidP="00C913A0">
      <w:pPr>
        <w:pStyle w:val="TOC3"/>
        <w:tabs>
          <w:tab w:val="right" w:leader="dot" w:pos="9350"/>
        </w:tabs>
        <w:spacing w:after="0" w:line="360" w:lineRule="auto"/>
        <w:rPr>
          <w:rFonts w:ascii="Garamond" w:eastAsiaTheme="minorEastAsia" w:hAnsi="Garamond" w:cstheme="minorBidi"/>
          <w:noProof/>
          <w:sz w:val="24"/>
          <w:szCs w:val="24"/>
          <w:lang w:val="en-GB" w:eastAsia="en-GB"/>
        </w:rPr>
      </w:pPr>
      <w:hyperlink w:anchor="_Toc486782263" w:history="1">
        <w:r w:rsidR="00F31347" w:rsidRPr="00F31347">
          <w:rPr>
            <w:rStyle w:val="Hyperlink"/>
            <w:rFonts w:ascii="Garamond" w:hAnsi="Garamond"/>
            <w:noProof/>
            <w:sz w:val="24"/>
            <w:szCs w:val="24"/>
          </w:rPr>
          <w:t>3.2.4 Development plans</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_Toc486782263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27</w:t>
        </w:r>
        <w:r w:rsidR="00BF3BBC" w:rsidRPr="00F31347">
          <w:rPr>
            <w:rFonts w:ascii="Garamond" w:hAnsi="Garamond"/>
            <w:noProof/>
            <w:webHidden/>
            <w:sz w:val="24"/>
            <w:szCs w:val="24"/>
          </w:rPr>
          <w:fldChar w:fldCharType="end"/>
        </w:r>
      </w:hyperlink>
    </w:p>
    <w:p w:rsidR="00F31347" w:rsidRPr="00F31347" w:rsidRDefault="00702115"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hyperlink w:anchor="_Toc486782264" w:history="1">
        <w:r w:rsidR="00F31347" w:rsidRPr="00F31347">
          <w:rPr>
            <w:rStyle w:val="Hyperlink"/>
            <w:rFonts w:ascii="Garamond" w:hAnsi="Garamond"/>
            <w:noProof/>
            <w:sz w:val="24"/>
            <w:szCs w:val="24"/>
          </w:rPr>
          <w:t>4. Means of implementation of development plans: Institutions, planning, and budgeting</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_Toc486782264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31</w:t>
        </w:r>
        <w:r w:rsidR="00BF3BBC" w:rsidRPr="00F31347">
          <w:rPr>
            <w:rFonts w:ascii="Garamond" w:hAnsi="Garamond"/>
            <w:noProof/>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65" w:history="1">
        <w:r w:rsidR="00F31347" w:rsidRPr="00F31347">
          <w:rPr>
            <w:rStyle w:val="Hyperlink"/>
            <w:sz w:val="24"/>
            <w:szCs w:val="24"/>
          </w:rPr>
          <w:t>4.1 Institutional arrangement for plan preparation</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_Toc486782265 \h </w:instrText>
        </w:r>
        <w:r w:rsidR="00BF3BBC" w:rsidRPr="00F31347">
          <w:rPr>
            <w:webHidden/>
            <w:sz w:val="24"/>
            <w:szCs w:val="24"/>
          </w:rPr>
        </w:r>
        <w:r w:rsidR="00BF3BBC" w:rsidRPr="00F31347">
          <w:rPr>
            <w:webHidden/>
            <w:sz w:val="24"/>
            <w:szCs w:val="24"/>
          </w:rPr>
          <w:fldChar w:fldCharType="separate"/>
        </w:r>
        <w:r w:rsidR="008E05FA">
          <w:rPr>
            <w:webHidden/>
            <w:sz w:val="24"/>
            <w:szCs w:val="24"/>
          </w:rPr>
          <w:t>31</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66" w:history="1">
        <w:r w:rsidR="00F31347" w:rsidRPr="00F31347">
          <w:rPr>
            <w:rStyle w:val="Hyperlink"/>
            <w:sz w:val="24"/>
            <w:szCs w:val="24"/>
            <w:lang w:val="en-GB"/>
          </w:rPr>
          <w:t>4.2 Coordination and collaborative mechanisms</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_Toc486782266 \h </w:instrText>
        </w:r>
        <w:r w:rsidR="00BF3BBC" w:rsidRPr="00F31347">
          <w:rPr>
            <w:webHidden/>
            <w:sz w:val="24"/>
            <w:szCs w:val="24"/>
          </w:rPr>
        </w:r>
        <w:r w:rsidR="00BF3BBC" w:rsidRPr="00F31347">
          <w:rPr>
            <w:webHidden/>
            <w:sz w:val="24"/>
            <w:szCs w:val="24"/>
          </w:rPr>
          <w:fldChar w:fldCharType="separate"/>
        </w:r>
        <w:r w:rsidR="008E05FA">
          <w:rPr>
            <w:webHidden/>
            <w:sz w:val="24"/>
            <w:szCs w:val="24"/>
          </w:rPr>
          <w:t>32</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67" w:history="1">
        <w:r w:rsidR="00F31347" w:rsidRPr="00F31347">
          <w:rPr>
            <w:rStyle w:val="Hyperlink"/>
            <w:sz w:val="24"/>
            <w:szCs w:val="24"/>
            <w:lang w:val="en-GB"/>
          </w:rPr>
          <w:t>4.3 National Framework for financing development: Planning and budget process</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_Toc486782267 \h </w:instrText>
        </w:r>
        <w:r w:rsidR="00BF3BBC" w:rsidRPr="00F31347">
          <w:rPr>
            <w:webHidden/>
            <w:sz w:val="24"/>
            <w:szCs w:val="24"/>
          </w:rPr>
        </w:r>
        <w:r w:rsidR="00BF3BBC" w:rsidRPr="00F31347">
          <w:rPr>
            <w:webHidden/>
            <w:sz w:val="24"/>
            <w:szCs w:val="24"/>
          </w:rPr>
          <w:fldChar w:fldCharType="separate"/>
        </w:r>
        <w:r w:rsidR="008E05FA">
          <w:rPr>
            <w:webHidden/>
            <w:sz w:val="24"/>
            <w:szCs w:val="24"/>
          </w:rPr>
          <w:t>34</w:t>
        </w:r>
        <w:r w:rsidR="00BF3BBC" w:rsidRPr="00F31347">
          <w:rPr>
            <w:webHidden/>
            <w:sz w:val="24"/>
            <w:szCs w:val="24"/>
          </w:rPr>
          <w:fldChar w:fldCharType="end"/>
        </w:r>
      </w:hyperlink>
    </w:p>
    <w:p w:rsidR="00F31347" w:rsidRPr="00F31347" w:rsidRDefault="00702115"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hyperlink w:anchor="_Toc486782268" w:history="1">
        <w:r w:rsidR="00F31347" w:rsidRPr="00F31347">
          <w:rPr>
            <w:rStyle w:val="Hyperlink"/>
            <w:rFonts w:ascii="Garamond" w:hAnsi="Garamond"/>
            <w:noProof/>
            <w:sz w:val="24"/>
            <w:szCs w:val="24"/>
            <w:lang w:val="en-GB"/>
          </w:rPr>
          <w:t>5. Domestic finance: Analysis of institutional and policy context</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_Toc486782268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36</w:t>
        </w:r>
        <w:r w:rsidR="00BF3BBC" w:rsidRPr="00F31347">
          <w:rPr>
            <w:rFonts w:ascii="Garamond" w:hAnsi="Garamond"/>
            <w:noProof/>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69" w:history="1">
        <w:r w:rsidR="00F31347" w:rsidRPr="00F31347">
          <w:rPr>
            <w:rStyle w:val="Hyperlink"/>
            <w:sz w:val="24"/>
            <w:szCs w:val="24"/>
          </w:rPr>
          <w:t>5.1 Tax and non-tax sources of finance</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_Toc486782269 \h </w:instrText>
        </w:r>
        <w:r w:rsidR="00BF3BBC" w:rsidRPr="00F31347">
          <w:rPr>
            <w:webHidden/>
            <w:sz w:val="24"/>
            <w:szCs w:val="24"/>
          </w:rPr>
        </w:r>
        <w:r w:rsidR="00BF3BBC" w:rsidRPr="00F31347">
          <w:rPr>
            <w:webHidden/>
            <w:sz w:val="24"/>
            <w:szCs w:val="24"/>
          </w:rPr>
          <w:fldChar w:fldCharType="separate"/>
        </w:r>
        <w:r w:rsidR="008E05FA">
          <w:rPr>
            <w:webHidden/>
            <w:sz w:val="24"/>
            <w:szCs w:val="24"/>
          </w:rPr>
          <w:t>36</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70" w:history="1">
        <w:r w:rsidR="00F31347" w:rsidRPr="00F31347">
          <w:rPr>
            <w:rStyle w:val="Hyperlink"/>
            <w:sz w:val="24"/>
            <w:szCs w:val="24"/>
          </w:rPr>
          <w:t>5.2 Supply of finance with banks and outside banks</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_Toc486782270 \h </w:instrText>
        </w:r>
        <w:r w:rsidR="00BF3BBC" w:rsidRPr="00F31347">
          <w:rPr>
            <w:webHidden/>
            <w:sz w:val="24"/>
            <w:szCs w:val="24"/>
          </w:rPr>
        </w:r>
        <w:r w:rsidR="00BF3BBC" w:rsidRPr="00F31347">
          <w:rPr>
            <w:webHidden/>
            <w:sz w:val="24"/>
            <w:szCs w:val="24"/>
          </w:rPr>
          <w:fldChar w:fldCharType="separate"/>
        </w:r>
        <w:r w:rsidR="008E05FA">
          <w:rPr>
            <w:webHidden/>
            <w:sz w:val="24"/>
            <w:szCs w:val="24"/>
          </w:rPr>
          <w:t>42</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71" w:history="1">
        <w:r w:rsidR="00F31347" w:rsidRPr="00F31347">
          <w:rPr>
            <w:rStyle w:val="Hyperlink"/>
            <w:sz w:val="24"/>
            <w:szCs w:val="24"/>
          </w:rPr>
          <w:t>5.3 Domestic private business and finance</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_Toc486782271 \h </w:instrText>
        </w:r>
        <w:r w:rsidR="00BF3BBC" w:rsidRPr="00F31347">
          <w:rPr>
            <w:webHidden/>
            <w:sz w:val="24"/>
            <w:szCs w:val="24"/>
          </w:rPr>
        </w:r>
        <w:r w:rsidR="00BF3BBC" w:rsidRPr="00F31347">
          <w:rPr>
            <w:webHidden/>
            <w:sz w:val="24"/>
            <w:szCs w:val="24"/>
          </w:rPr>
          <w:fldChar w:fldCharType="separate"/>
        </w:r>
        <w:r w:rsidR="008E05FA">
          <w:rPr>
            <w:webHidden/>
            <w:sz w:val="24"/>
            <w:szCs w:val="24"/>
          </w:rPr>
          <w:t>45</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72" w:history="1">
        <w:r w:rsidR="00F31347" w:rsidRPr="00F31347">
          <w:rPr>
            <w:rStyle w:val="Hyperlink"/>
            <w:sz w:val="24"/>
            <w:szCs w:val="24"/>
          </w:rPr>
          <w:t>5.4 Inclusive Business Finance</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_Toc486782272 \h </w:instrText>
        </w:r>
        <w:r w:rsidR="00BF3BBC" w:rsidRPr="00F31347">
          <w:rPr>
            <w:webHidden/>
            <w:sz w:val="24"/>
            <w:szCs w:val="24"/>
          </w:rPr>
        </w:r>
        <w:r w:rsidR="00BF3BBC" w:rsidRPr="00F31347">
          <w:rPr>
            <w:webHidden/>
            <w:sz w:val="24"/>
            <w:szCs w:val="24"/>
          </w:rPr>
          <w:fldChar w:fldCharType="separate"/>
        </w:r>
        <w:r w:rsidR="008E05FA">
          <w:rPr>
            <w:webHidden/>
            <w:sz w:val="24"/>
            <w:szCs w:val="24"/>
          </w:rPr>
          <w:t>48</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73" w:history="1">
        <w:r w:rsidR="00F31347" w:rsidRPr="00F31347">
          <w:rPr>
            <w:rStyle w:val="Hyperlink"/>
            <w:sz w:val="24"/>
            <w:szCs w:val="24"/>
          </w:rPr>
          <w:t>5.5 Domestic climate finance</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_Toc486782273 \h </w:instrText>
        </w:r>
        <w:r w:rsidR="00BF3BBC" w:rsidRPr="00F31347">
          <w:rPr>
            <w:webHidden/>
            <w:sz w:val="24"/>
            <w:szCs w:val="24"/>
          </w:rPr>
        </w:r>
        <w:r w:rsidR="00BF3BBC" w:rsidRPr="00F31347">
          <w:rPr>
            <w:webHidden/>
            <w:sz w:val="24"/>
            <w:szCs w:val="24"/>
          </w:rPr>
          <w:fldChar w:fldCharType="separate"/>
        </w:r>
        <w:r w:rsidR="008E05FA">
          <w:rPr>
            <w:webHidden/>
            <w:sz w:val="24"/>
            <w:szCs w:val="24"/>
          </w:rPr>
          <w:t>50</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74" w:history="1">
        <w:r w:rsidR="00F31347" w:rsidRPr="00F31347">
          <w:rPr>
            <w:rStyle w:val="Hyperlink"/>
            <w:sz w:val="24"/>
            <w:szCs w:val="24"/>
          </w:rPr>
          <w:t>5.6 Domestic philanthropy and non-governmental organizations (NGOs)</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_Toc486782274 \h </w:instrText>
        </w:r>
        <w:r w:rsidR="00BF3BBC" w:rsidRPr="00F31347">
          <w:rPr>
            <w:webHidden/>
            <w:sz w:val="24"/>
            <w:szCs w:val="24"/>
          </w:rPr>
        </w:r>
        <w:r w:rsidR="00BF3BBC" w:rsidRPr="00F31347">
          <w:rPr>
            <w:webHidden/>
            <w:sz w:val="24"/>
            <w:szCs w:val="24"/>
          </w:rPr>
          <w:fldChar w:fldCharType="separate"/>
        </w:r>
        <w:r w:rsidR="008E05FA">
          <w:rPr>
            <w:webHidden/>
            <w:sz w:val="24"/>
            <w:szCs w:val="24"/>
          </w:rPr>
          <w:t>51</w:t>
        </w:r>
        <w:r w:rsidR="00BF3BBC" w:rsidRPr="00F31347">
          <w:rPr>
            <w:webHidden/>
            <w:sz w:val="24"/>
            <w:szCs w:val="24"/>
          </w:rPr>
          <w:fldChar w:fldCharType="end"/>
        </w:r>
      </w:hyperlink>
    </w:p>
    <w:p w:rsidR="00F31347" w:rsidRPr="00F31347" w:rsidRDefault="00702115"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hyperlink w:anchor="_Toc486782275" w:history="1">
        <w:r w:rsidR="00F31347" w:rsidRPr="00F31347">
          <w:rPr>
            <w:rStyle w:val="Hyperlink"/>
            <w:rFonts w:ascii="Garamond" w:eastAsiaTheme="minorHAnsi" w:hAnsi="Garamond"/>
            <w:noProof/>
            <w:sz w:val="24"/>
            <w:szCs w:val="24"/>
            <w:lang w:val="en-GB"/>
          </w:rPr>
          <w:t>6. External Finance: Analysis of institutional and policy context</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_Toc486782275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52</w:t>
        </w:r>
        <w:r w:rsidR="00BF3BBC" w:rsidRPr="00F31347">
          <w:rPr>
            <w:rFonts w:ascii="Garamond" w:hAnsi="Garamond"/>
            <w:noProof/>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76" w:history="1">
        <w:r w:rsidR="00F31347" w:rsidRPr="00F31347">
          <w:rPr>
            <w:rStyle w:val="Hyperlink"/>
            <w:sz w:val="24"/>
            <w:szCs w:val="24"/>
          </w:rPr>
          <w:t>6.1 Official Development Assistance (ODA)</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_Toc486782276 \h </w:instrText>
        </w:r>
        <w:r w:rsidR="00BF3BBC" w:rsidRPr="00F31347">
          <w:rPr>
            <w:webHidden/>
            <w:sz w:val="24"/>
            <w:szCs w:val="24"/>
          </w:rPr>
        </w:r>
        <w:r w:rsidR="00BF3BBC" w:rsidRPr="00F31347">
          <w:rPr>
            <w:webHidden/>
            <w:sz w:val="24"/>
            <w:szCs w:val="24"/>
          </w:rPr>
          <w:fldChar w:fldCharType="separate"/>
        </w:r>
        <w:r w:rsidR="008E05FA">
          <w:rPr>
            <w:webHidden/>
            <w:sz w:val="24"/>
            <w:szCs w:val="24"/>
          </w:rPr>
          <w:t>52</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77" w:history="1">
        <w:r w:rsidR="00F31347" w:rsidRPr="00F31347">
          <w:rPr>
            <w:rStyle w:val="Hyperlink"/>
            <w:sz w:val="24"/>
            <w:szCs w:val="24"/>
          </w:rPr>
          <w:t>6.2 Debt and debt sustainability</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_Toc486782277 \h </w:instrText>
        </w:r>
        <w:r w:rsidR="00BF3BBC" w:rsidRPr="00F31347">
          <w:rPr>
            <w:webHidden/>
            <w:sz w:val="24"/>
            <w:szCs w:val="24"/>
          </w:rPr>
        </w:r>
        <w:r w:rsidR="00BF3BBC" w:rsidRPr="00F31347">
          <w:rPr>
            <w:webHidden/>
            <w:sz w:val="24"/>
            <w:szCs w:val="24"/>
          </w:rPr>
          <w:fldChar w:fldCharType="separate"/>
        </w:r>
        <w:r w:rsidR="008E05FA">
          <w:rPr>
            <w:webHidden/>
            <w:sz w:val="24"/>
            <w:szCs w:val="24"/>
          </w:rPr>
          <w:t>54</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78" w:history="1">
        <w:r w:rsidR="00F31347" w:rsidRPr="00F31347">
          <w:rPr>
            <w:rStyle w:val="Hyperlink"/>
            <w:rFonts w:eastAsiaTheme="minorHAnsi" w:cs="MyriadPro-Regular"/>
            <w:sz w:val="24"/>
            <w:szCs w:val="24"/>
            <w:lang w:val="en-GB"/>
          </w:rPr>
          <w:t xml:space="preserve">6.3 </w:t>
        </w:r>
        <w:r w:rsidR="00F31347" w:rsidRPr="00F31347">
          <w:rPr>
            <w:rStyle w:val="Hyperlink"/>
            <w:sz w:val="24"/>
            <w:szCs w:val="24"/>
          </w:rPr>
          <w:t>Remittances</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_Toc486782278 \h </w:instrText>
        </w:r>
        <w:r w:rsidR="00BF3BBC" w:rsidRPr="00F31347">
          <w:rPr>
            <w:webHidden/>
            <w:sz w:val="24"/>
            <w:szCs w:val="24"/>
          </w:rPr>
        </w:r>
        <w:r w:rsidR="00BF3BBC" w:rsidRPr="00F31347">
          <w:rPr>
            <w:webHidden/>
            <w:sz w:val="24"/>
            <w:szCs w:val="24"/>
          </w:rPr>
          <w:fldChar w:fldCharType="separate"/>
        </w:r>
        <w:r w:rsidR="008E05FA">
          <w:rPr>
            <w:webHidden/>
            <w:sz w:val="24"/>
            <w:szCs w:val="24"/>
          </w:rPr>
          <w:t>57</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79" w:history="1">
        <w:r w:rsidR="00F31347" w:rsidRPr="00F31347">
          <w:rPr>
            <w:rStyle w:val="Hyperlink"/>
            <w:sz w:val="24"/>
            <w:szCs w:val="24"/>
          </w:rPr>
          <w:t>6.4 Foreign direct investment (FDI)</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_Toc486782279 \h </w:instrText>
        </w:r>
        <w:r w:rsidR="00BF3BBC" w:rsidRPr="00F31347">
          <w:rPr>
            <w:webHidden/>
            <w:sz w:val="24"/>
            <w:szCs w:val="24"/>
          </w:rPr>
        </w:r>
        <w:r w:rsidR="00BF3BBC" w:rsidRPr="00F31347">
          <w:rPr>
            <w:webHidden/>
            <w:sz w:val="24"/>
            <w:szCs w:val="24"/>
          </w:rPr>
          <w:fldChar w:fldCharType="separate"/>
        </w:r>
        <w:r w:rsidR="008E05FA">
          <w:rPr>
            <w:webHidden/>
            <w:sz w:val="24"/>
            <w:szCs w:val="24"/>
          </w:rPr>
          <w:t>58</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80" w:history="1">
        <w:r w:rsidR="00F31347" w:rsidRPr="00F31347">
          <w:rPr>
            <w:rStyle w:val="Hyperlink"/>
            <w:sz w:val="24"/>
            <w:szCs w:val="24"/>
          </w:rPr>
          <w:t>6.5 External climate change finance</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_Toc486782280 \h </w:instrText>
        </w:r>
        <w:r w:rsidR="00BF3BBC" w:rsidRPr="00F31347">
          <w:rPr>
            <w:webHidden/>
            <w:sz w:val="24"/>
            <w:szCs w:val="24"/>
          </w:rPr>
        </w:r>
        <w:r w:rsidR="00BF3BBC" w:rsidRPr="00F31347">
          <w:rPr>
            <w:webHidden/>
            <w:sz w:val="24"/>
            <w:szCs w:val="24"/>
          </w:rPr>
          <w:fldChar w:fldCharType="separate"/>
        </w:r>
        <w:r w:rsidR="008E05FA">
          <w:rPr>
            <w:webHidden/>
            <w:sz w:val="24"/>
            <w:szCs w:val="24"/>
          </w:rPr>
          <w:t>62</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81" w:history="1">
        <w:r w:rsidR="00F31347" w:rsidRPr="00F31347">
          <w:rPr>
            <w:rStyle w:val="Hyperlink"/>
            <w:sz w:val="24"/>
            <w:szCs w:val="24"/>
          </w:rPr>
          <w:t>6.6 South-South Cooperation (SSC)</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_Toc486782281 \h </w:instrText>
        </w:r>
        <w:r w:rsidR="00BF3BBC" w:rsidRPr="00F31347">
          <w:rPr>
            <w:webHidden/>
            <w:sz w:val="24"/>
            <w:szCs w:val="24"/>
          </w:rPr>
        </w:r>
        <w:r w:rsidR="00BF3BBC" w:rsidRPr="00F31347">
          <w:rPr>
            <w:webHidden/>
            <w:sz w:val="24"/>
            <w:szCs w:val="24"/>
          </w:rPr>
          <w:fldChar w:fldCharType="separate"/>
        </w:r>
        <w:r w:rsidR="008E05FA">
          <w:rPr>
            <w:webHidden/>
            <w:sz w:val="24"/>
            <w:szCs w:val="24"/>
          </w:rPr>
          <w:t>62</w:t>
        </w:r>
        <w:r w:rsidR="00BF3BBC" w:rsidRPr="00F31347">
          <w:rPr>
            <w:webHidden/>
            <w:sz w:val="24"/>
            <w:szCs w:val="24"/>
          </w:rPr>
          <w:fldChar w:fldCharType="end"/>
        </w:r>
      </w:hyperlink>
    </w:p>
    <w:p w:rsidR="00F31347" w:rsidRPr="00F31347" w:rsidRDefault="00702115"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hyperlink w:anchor="_Toc486782282" w:history="1">
        <w:r w:rsidR="00F31347" w:rsidRPr="00F31347">
          <w:rPr>
            <w:rStyle w:val="Hyperlink"/>
            <w:rFonts w:ascii="Garamond" w:hAnsi="Garamond"/>
            <w:noProof/>
            <w:sz w:val="24"/>
            <w:szCs w:val="24"/>
          </w:rPr>
          <w:t>7. Key findings, priorities areas and matrix of interventions</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_Toc486782282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65</w:t>
        </w:r>
        <w:r w:rsidR="00BF3BBC" w:rsidRPr="00F31347">
          <w:rPr>
            <w:rFonts w:ascii="Garamond" w:hAnsi="Garamond"/>
            <w:noProof/>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83" w:history="1">
        <w:r w:rsidR="00F31347" w:rsidRPr="00F31347">
          <w:rPr>
            <w:rStyle w:val="Hyperlink"/>
            <w:sz w:val="24"/>
            <w:szCs w:val="24"/>
          </w:rPr>
          <w:t>7.1 Key findings based on the development finance assessment (DFA)</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_Toc486782283 \h </w:instrText>
        </w:r>
        <w:r w:rsidR="00BF3BBC" w:rsidRPr="00F31347">
          <w:rPr>
            <w:webHidden/>
            <w:sz w:val="24"/>
            <w:szCs w:val="24"/>
          </w:rPr>
        </w:r>
        <w:r w:rsidR="00BF3BBC" w:rsidRPr="00F31347">
          <w:rPr>
            <w:webHidden/>
            <w:sz w:val="24"/>
            <w:szCs w:val="24"/>
          </w:rPr>
          <w:fldChar w:fldCharType="separate"/>
        </w:r>
        <w:r w:rsidR="008E05FA">
          <w:rPr>
            <w:webHidden/>
            <w:sz w:val="24"/>
            <w:szCs w:val="24"/>
          </w:rPr>
          <w:t>65</w:t>
        </w:r>
        <w:r w:rsidR="00BF3BBC" w:rsidRPr="00F31347">
          <w:rPr>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84" w:history="1">
        <w:r w:rsidR="00F31347" w:rsidRPr="00F31347">
          <w:rPr>
            <w:rStyle w:val="Hyperlink"/>
            <w:sz w:val="24"/>
            <w:szCs w:val="24"/>
          </w:rPr>
          <w:t>7.2 Priority areas</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_Toc486782284 \h </w:instrText>
        </w:r>
        <w:r w:rsidR="00BF3BBC" w:rsidRPr="00F31347">
          <w:rPr>
            <w:webHidden/>
            <w:sz w:val="24"/>
            <w:szCs w:val="24"/>
          </w:rPr>
        </w:r>
        <w:r w:rsidR="00BF3BBC" w:rsidRPr="00F31347">
          <w:rPr>
            <w:webHidden/>
            <w:sz w:val="24"/>
            <w:szCs w:val="24"/>
          </w:rPr>
          <w:fldChar w:fldCharType="separate"/>
        </w:r>
        <w:r w:rsidR="008E05FA">
          <w:rPr>
            <w:webHidden/>
            <w:sz w:val="24"/>
            <w:szCs w:val="24"/>
          </w:rPr>
          <w:t>67</w:t>
        </w:r>
        <w:r w:rsidR="00BF3BBC" w:rsidRPr="00F31347">
          <w:rPr>
            <w:webHidden/>
            <w:sz w:val="24"/>
            <w:szCs w:val="24"/>
          </w:rPr>
          <w:fldChar w:fldCharType="end"/>
        </w:r>
      </w:hyperlink>
    </w:p>
    <w:p w:rsidR="00F31347" w:rsidRPr="00F31347" w:rsidRDefault="00702115" w:rsidP="00C913A0">
      <w:pPr>
        <w:pStyle w:val="TOC3"/>
        <w:tabs>
          <w:tab w:val="right" w:leader="dot" w:pos="9350"/>
        </w:tabs>
        <w:spacing w:after="0" w:line="360" w:lineRule="auto"/>
        <w:rPr>
          <w:rFonts w:ascii="Garamond" w:eastAsiaTheme="minorEastAsia" w:hAnsi="Garamond" w:cstheme="minorBidi"/>
          <w:noProof/>
          <w:sz w:val="24"/>
          <w:szCs w:val="24"/>
          <w:lang w:val="en-GB" w:eastAsia="en-GB"/>
        </w:rPr>
      </w:pPr>
      <w:hyperlink w:anchor="_Toc486782285" w:history="1">
        <w:r w:rsidR="00F31347" w:rsidRPr="00F31347">
          <w:rPr>
            <w:rStyle w:val="Hyperlink"/>
            <w:rFonts w:ascii="Garamond" w:hAnsi="Garamond"/>
            <w:noProof/>
            <w:sz w:val="24"/>
            <w:szCs w:val="24"/>
          </w:rPr>
          <w:t>7.2.1 Core priority areas</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_Toc486782285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67</w:t>
        </w:r>
        <w:r w:rsidR="00BF3BBC" w:rsidRPr="00F31347">
          <w:rPr>
            <w:rFonts w:ascii="Garamond" w:hAnsi="Garamond"/>
            <w:noProof/>
            <w:webHidden/>
            <w:sz w:val="24"/>
            <w:szCs w:val="24"/>
          </w:rPr>
          <w:fldChar w:fldCharType="end"/>
        </w:r>
      </w:hyperlink>
    </w:p>
    <w:p w:rsidR="00F31347" w:rsidRPr="00F31347" w:rsidRDefault="00702115" w:rsidP="00C913A0">
      <w:pPr>
        <w:pStyle w:val="TOC3"/>
        <w:tabs>
          <w:tab w:val="right" w:leader="dot" w:pos="9350"/>
        </w:tabs>
        <w:spacing w:after="0" w:line="360" w:lineRule="auto"/>
        <w:rPr>
          <w:rFonts w:ascii="Garamond" w:eastAsiaTheme="minorEastAsia" w:hAnsi="Garamond" w:cstheme="minorBidi"/>
          <w:noProof/>
          <w:sz w:val="24"/>
          <w:szCs w:val="24"/>
          <w:lang w:val="en-GB" w:eastAsia="en-GB"/>
        </w:rPr>
      </w:pPr>
      <w:hyperlink w:anchor="_Toc486782286" w:history="1">
        <w:r w:rsidR="00F31347" w:rsidRPr="00F31347">
          <w:rPr>
            <w:rStyle w:val="Hyperlink"/>
            <w:rFonts w:ascii="Garamond" w:hAnsi="Garamond"/>
            <w:noProof/>
            <w:sz w:val="24"/>
            <w:szCs w:val="24"/>
          </w:rPr>
          <w:t>7.2.2</w:t>
        </w:r>
        <w:r w:rsidR="00F31347" w:rsidRPr="00F31347">
          <w:rPr>
            <w:rStyle w:val="Hyperlink"/>
            <w:rFonts w:ascii="Garamond" w:eastAsia="Calibri" w:hAnsi="Garamond"/>
            <w:noProof/>
            <w:sz w:val="24"/>
            <w:szCs w:val="24"/>
          </w:rPr>
          <w:t xml:space="preserve"> Cross-cutting issues</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_Toc486782286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71</w:t>
        </w:r>
        <w:r w:rsidR="00BF3BBC" w:rsidRPr="00F31347">
          <w:rPr>
            <w:rFonts w:ascii="Garamond" w:hAnsi="Garamond"/>
            <w:noProof/>
            <w:webHidden/>
            <w:sz w:val="24"/>
            <w:szCs w:val="24"/>
          </w:rPr>
          <w:fldChar w:fldCharType="end"/>
        </w:r>
      </w:hyperlink>
    </w:p>
    <w:p w:rsidR="00F31347" w:rsidRPr="00F31347" w:rsidRDefault="00702115" w:rsidP="00C913A0">
      <w:pPr>
        <w:pStyle w:val="TOC2"/>
        <w:spacing w:after="0" w:line="360" w:lineRule="auto"/>
        <w:rPr>
          <w:rFonts w:eastAsiaTheme="minorEastAsia" w:cstheme="minorBidi"/>
          <w:sz w:val="24"/>
          <w:szCs w:val="24"/>
          <w:lang w:val="en-GB" w:eastAsia="en-GB"/>
        </w:rPr>
      </w:pPr>
      <w:hyperlink w:anchor="_Toc486782287" w:history="1">
        <w:r w:rsidR="00F31347" w:rsidRPr="00F31347">
          <w:rPr>
            <w:rStyle w:val="Hyperlink"/>
            <w:sz w:val="24"/>
            <w:szCs w:val="24"/>
          </w:rPr>
          <w:t>7.3 Matrix of interventions and monitoring and reporting</w:t>
        </w:r>
        <w:r w:rsidR="00F31347" w:rsidRPr="00F31347">
          <w:rPr>
            <w:webHidden/>
            <w:sz w:val="24"/>
            <w:szCs w:val="24"/>
          </w:rPr>
          <w:tab/>
        </w:r>
        <w:r w:rsidR="00BF3BBC" w:rsidRPr="00F31347">
          <w:rPr>
            <w:webHidden/>
            <w:sz w:val="24"/>
            <w:szCs w:val="24"/>
          </w:rPr>
          <w:fldChar w:fldCharType="begin"/>
        </w:r>
        <w:r w:rsidR="00F31347" w:rsidRPr="00F31347">
          <w:rPr>
            <w:webHidden/>
            <w:sz w:val="24"/>
            <w:szCs w:val="24"/>
          </w:rPr>
          <w:instrText xml:space="preserve"> PAGEREF _Toc486782287 \h </w:instrText>
        </w:r>
        <w:r w:rsidR="00BF3BBC" w:rsidRPr="00F31347">
          <w:rPr>
            <w:webHidden/>
            <w:sz w:val="24"/>
            <w:szCs w:val="24"/>
          </w:rPr>
        </w:r>
        <w:r w:rsidR="00BF3BBC" w:rsidRPr="00F31347">
          <w:rPr>
            <w:webHidden/>
            <w:sz w:val="24"/>
            <w:szCs w:val="24"/>
          </w:rPr>
          <w:fldChar w:fldCharType="separate"/>
        </w:r>
        <w:r w:rsidR="008E05FA">
          <w:rPr>
            <w:webHidden/>
            <w:sz w:val="24"/>
            <w:szCs w:val="24"/>
          </w:rPr>
          <w:t>73</w:t>
        </w:r>
        <w:r w:rsidR="00BF3BBC" w:rsidRPr="00F31347">
          <w:rPr>
            <w:webHidden/>
            <w:sz w:val="24"/>
            <w:szCs w:val="24"/>
          </w:rPr>
          <w:fldChar w:fldCharType="end"/>
        </w:r>
      </w:hyperlink>
    </w:p>
    <w:p w:rsidR="00F31347" w:rsidRPr="00F31347" w:rsidRDefault="00702115" w:rsidP="00C913A0">
      <w:pPr>
        <w:pStyle w:val="TOC3"/>
        <w:tabs>
          <w:tab w:val="right" w:leader="dot" w:pos="9350"/>
        </w:tabs>
        <w:spacing w:after="0" w:line="360" w:lineRule="auto"/>
        <w:rPr>
          <w:rFonts w:ascii="Garamond" w:eastAsiaTheme="minorEastAsia" w:hAnsi="Garamond" w:cstheme="minorBidi"/>
          <w:noProof/>
          <w:sz w:val="24"/>
          <w:szCs w:val="24"/>
          <w:lang w:val="en-GB" w:eastAsia="en-GB"/>
        </w:rPr>
      </w:pPr>
      <w:hyperlink w:anchor="_Toc486782288" w:history="1">
        <w:r w:rsidR="00F31347" w:rsidRPr="00F31347">
          <w:rPr>
            <w:rStyle w:val="Hyperlink"/>
            <w:rFonts w:ascii="Garamond" w:hAnsi="Garamond"/>
            <w:noProof/>
            <w:sz w:val="24"/>
            <w:szCs w:val="24"/>
            <w:lang w:eastAsia="en-CA"/>
          </w:rPr>
          <w:t xml:space="preserve">7.3.1 </w:t>
        </w:r>
        <w:r w:rsidR="00F31347" w:rsidRPr="00F31347">
          <w:rPr>
            <w:rStyle w:val="Hyperlink"/>
            <w:rFonts w:ascii="Garamond" w:hAnsi="Garamond"/>
            <w:noProof/>
            <w:sz w:val="24"/>
            <w:szCs w:val="24"/>
          </w:rPr>
          <w:t>Matrix of interventions</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_Toc486782288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73</w:t>
        </w:r>
        <w:r w:rsidR="00BF3BBC" w:rsidRPr="00F31347">
          <w:rPr>
            <w:rFonts w:ascii="Garamond" w:hAnsi="Garamond"/>
            <w:noProof/>
            <w:webHidden/>
            <w:sz w:val="24"/>
            <w:szCs w:val="24"/>
          </w:rPr>
          <w:fldChar w:fldCharType="end"/>
        </w:r>
      </w:hyperlink>
    </w:p>
    <w:p w:rsidR="00F31347" w:rsidRPr="00F31347" w:rsidRDefault="00702115" w:rsidP="00C913A0">
      <w:pPr>
        <w:pStyle w:val="TOC3"/>
        <w:tabs>
          <w:tab w:val="right" w:leader="dot" w:pos="9350"/>
        </w:tabs>
        <w:spacing w:after="0" w:line="360" w:lineRule="auto"/>
        <w:rPr>
          <w:rFonts w:ascii="Garamond" w:eastAsiaTheme="minorEastAsia" w:hAnsi="Garamond" w:cstheme="minorBidi"/>
          <w:noProof/>
          <w:sz w:val="24"/>
          <w:szCs w:val="24"/>
          <w:lang w:val="en-GB" w:eastAsia="en-GB"/>
        </w:rPr>
      </w:pPr>
      <w:hyperlink w:anchor="_Toc486782289" w:history="1">
        <w:r w:rsidR="00F31347" w:rsidRPr="00F31347">
          <w:rPr>
            <w:rStyle w:val="Hyperlink"/>
            <w:rFonts w:ascii="Garamond" w:hAnsi="Garamond"/>
            <w:noProof/>
            <w:sz w:val="24"/>
            <w:szCs w:val="24"/>
          </w:rPr>
          <w:t>7.3.2 Monitoring and reporting</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_Toc486782289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73</w:t>
        </w:r>
        <w:r w:rsidR="00BF3BBC" w:rsidRPr="00F31347">
          <w:rPr>
            <w:rFonts w:ascii="Garamond" w:hAnsi="Garamond"/>
            <w:noProof/>
            <w:webHidden/>
            <w:sz w:val="24"/>
            <w:szCs w:val="24"/>
          </w:rPr>
          <w:fldChar w:fldCharType="end"/>
        </w:r>
      </w:hyperlink>
    </w:p>
    <w:p w:rsidR="00F31347" w:rsidRPr="00F31347" w:rsidRDefault="00702115"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hyperlink w:anchor="_Toc486782290" w:history="1">
        <w:r w:rsidR="00F31347" w:rsidRPr="00F31347">
          <w:rPr>
            <w:rStyle w:val="Hyperlink"/>
            <w:rFonts w:ascii="Garamond" w:hAnsi="Garamond"/>
            <w:noProof/>
            <w:sz w:val="24"/>
            <w:szCs w:val="24"/>
          </w:rPr>
          <w:t>References</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_Toc486782290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84</w:t>
        </w:r>
        <w:r w:rsidR="00BF3BBC" w:rsidRPr="00F31347">
          <w:rPr>
            <w:rFonts w:ascii="Garamond" w:hAnsi="Garamond"/>
            <w:noProof/>
            <w:webHidden/>
            <w:sz w:val="24"/>
            <w:szCs w:val="24"/>
          </w:rPr>
          <w:fldChar w:fldCharType="end"/>
        </w:r>
      </w:hyperlink>
    </w:p>
    <w:p w:rsidR="00F31347" w:rsidRPr="00F31347" w:rsidRDefault="00702115" w:rsidP="00C913A0">
      <w:pPr>
        <w:pStyle w:val="TOC1"/>
        <w:tabs>
          <w:tab w:val="right" w:leader="dot" w:pos="9350"/>
        </w:tabs>
        <w:spacing w:after="0" w:line="360" w:lineRule="auto"/>
        <w:rPr>
          <w:rFonts w:ascii="Garamond" w:eastAsiaTheme="minorEastAsia" w:hAnsi="Garamond" w:cstheme="minorBidi"/>
          <w:noProof/>
          <w:sz w:val="24"/>
          <w:szCs w:val="24"/>
          <w:lang w:val="en-GB" w:eastAsia="en-GB"/>
        </w:rPr>
      </w:pPr>
      <w:hyperlink w:anchor="_Toc486782291" w:history="1">
        <w:r w:rsidR="00F31347" w:rsidRPr="00F31347">
          <w:rPr>
            <w:rStyle w:val="Hyperlink"/>
            <w:rFonts w:ascii="Garamond" w:hAnsi="Garamond"/>
            <w:noProof/>
            <w:sz w:val="24"/>
            <w:szCs w:val="24"/>
          </w:rPr>
          <w:t>Annex</w:t>
        </w:r>
        <w:r w:rsidR="00F31347" w:rsidRPr="00F31347">
          <w:rPr>
            <w:rFonts w:ascii="Garamond" w:hAnsi="Garamond"/>
            <w:noProof/>
            <w:webHidden/>
            <w:sz w:val="24"/>
            <w:szCs w:val="24"/>
          </w:rPr>
          <w:tab/>
        </w:r>
        <w:r w:rsidR="00BF3BBC" w:rsidRPr="00F31347">
          <w:rPr>
            <w:rFonts w:ascii="Garamond" w:hAnsi="Garamond"/>
            <w:noProof/>
            <w:webHidden/>
            <w:sz w:val="24"/>
            <w:szCs w:val="24"/>
          </w:rPr>
          <w:fldChar w:fldCharType="begin"/>
        </w:r>
        <w:r w:rsidR="00F31347" w:rsidRPr="00F31347">
          <w:rPr>
            <w:rFonts w:ascii="Garamond" w:hAnsi="Garamond"/>
            <w:noProof/>
            <w:webHidden/>
            <w:sz w:val="24"/>
            <w:szCs w:val="24"/>
          </w:rPr>
          <w:instrText xml:space="preserve"> PAGEREF _Toc486782291 \h </w:instrText>
        </w:r>
        <w:r w:rsidR="00BF3BBC" w:rsidRPr="00F31347">
          <w:rPr>
            <w:rFonts w:ascii="Garamond" w:hAnsi="Garamond"/>
            <w:noProof/>
            <w:webHidden/>
            <w:sz w:val="24"/>
            <w:szCs w:val="24"/>
          </w:rPr>
        </w:r>
        <w:r w:rsidR="00BF3BBC" w:rsidRPr="00F31347">
          <w:rPr>
            <w:rFonts w:ascii="Garamond" w:hAnsi="Garamond"/>
            <w:noProof/>
            <w:webHidden/>
            <w:sz w:val="24"/>
            <w:szCs w:val="24"/>
          </w:rPr>
          <w:fldChar w:fldCharType="separate"/>
        </w:r>
        <w:r w:rsidR="008E05FA">
          <w:rPr>
            <w:rFonts w:ascii="Garamond" w:hAnsi="Garamond"/>
            <w:noProof/>
            <w:webHidden/>
            <w:sz w:val="24"/>
            <w:szCs w:val="24"/>
          </w:rPr>
          <w:t>85</w:t>
        </w:r>
        <w:r w:rsidR="00BF3BBC" w:rsidRPr="00F31347">
          <w:rPr>
            <w:rFonts w:ascii="Garamond" w:hAnsi="Garamond"/>
            <w:noProof/>
            <w:webHidden/>
            <w:sz w:val="24"/>
            <w:szCs w:val="24"/>
          </w:rPr>
          <w:fldChar w:fldCharType="end"/>
        </w:r>
      </w:hyperlink>
    </w:p>
    <w:p w:rsidR="00E80945" w:rsidRPr="006C24A4" w:rsidRDefault="00BF3BBC" w:rsidP="00C913A0">
      <w:pPr>
        <w:spacing w:after="0" w:line="360" w:lineRule="auto"/>
        <w:jc w:val="center"/>
        <w:rPr>
          <w:rFonts w:ascii="Garamond" w:hAnsi="Garamond"/>
          <w:sz w:val="24"/>
          <w:szCs w:val="24"/>
        </w:rPr>
      </w:pPr>
      <w:r w:rsidRPr="00F31347">
        <w:rPr>
          <w:rFonts w:ascii="Garamond" w:hAnsi="Garamond"/>
          <w:bCs/>
          <w:noProof/>
          <w:sz w:val="24"/>
          <w:szCs w:val="24"/>
        </w:rPr>
        <w:fldChar w:fldCharType="end"/>
      </w:r>
      <w:r w:rsidR="00E80945" w:rsidRPr="006C24A4">
        <w:rPr>
          <w:rFonts w:ascii="Garamond" w:hAnsi="Garamond"/>
          <w:sz w:val="24"/>
          <w:szCs w:val="24"/>
        </w:rPr>
        <w:t xml:space="preserve"> </w:t>
      </w:r>
    </w:p>
    <w:p w:rsidR="00E80945" w:rsidRPr="006C24A4" w:rsidRDefault="00E80945" w:rsidP="006C24A4">
      <w:pPr>
        <w:spacing w:after="0" w:line="360" w:lineRule="auto"/>
        <w:rPr>
          <w:rFonts w:ascii="Garamond" w:hAnsi="Garamond"/>
          <w:b/>
          <w:sz w:val="24"/>
          <w:szCs w:val="24"/>
        </w:rPr>
      </w:pPr>
      <w:r w:rsidRPr="006C24A4">
        <w:rPr>
          <w:rFonts w:ascii="Garamond" w:hAnsi="Garamond"/>
          <w:b/>
          <w:sz w:val="24"/>
          <w:szCs w:val="24"/>
        </w:rPr>
        <w:br w:type="page"/>
      </w:r>
    </w:p>
    <w:p w:rsidR="0052279A" w:rsidRPr="0052279A" w:rsidRDefault="0052279A" w:rsidP="0052279A">
      <w:pPr>
        <w:pStyle w:val="Heading1"/>
        <w:rPr>
          <w:rFonts w:ascii="Garamond" w:hAnsi="Garamond"/>
          <w:b/>
          <w:sz w:val="24"/>
          <w:szCs w:val="24"/>
        </w:rPr>
      </w:pPr>
      <w:bookmarkStart w:id="1" w:name="_Toc436576076"/>
      <w:bookmarkStart w:id="2" w:name="_Toc486782241"/>
      <w:r w:rsidRPr="0052279A">
        <w:rPr>
          <w:rFonts w:ascii="Garamond" w:hAnsi="Garamond"/>
          <w:b/>
          <w:sz w:val="24"/>
          <w:szCs w:val="24"/>
        </w:rPr>
        <w:lastRenderedPageBreak/>
        <w:t>Acronyms</w:t>
      </w:r>
      <w:bookmarkEnd w:id="1"/>
      <w:bookmarkEnd w:id="2"/>
      <w:r w:rsidRPr="0052279A">
        <w:rPr>
          <w:rFonts w:ascii="Garamond" w:hAnsi="Garamond"/>
          <w:b/>
          <w:sz w:val="24"/>
          <w:szCs w:val="24"/>
        </w:rPr>
        <w:t xml:space="preserve">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AAAA        Addis Ababa Action Agenda</w:t>
      </w:r>
    </w:p>
    <w:p w:rsidR="0052279A" w:rsidRPr="0052279A" w:rsidRDefault="0052279A" w:rsidP="0052279A">
      <w:pPr>
        <w:spacing w:after="0" w:line="240" w:lineRule="auto"/>
        <w:rPr>
          <w:rFonts w:ascii="Garamond" w:hAnsi="Garamond"/>
          <w:sz w:val="20"/>
          <w:szCs w:val="20"/>
        </w:rPr>
      </w:pPr>
      <w:r w:rsidRPr="0052279A">
        <w:rPr>
          <w:rFonts w:ascii="Garamond" w:eastAsia="Calibri" w:hAnsi="Garamond"/>
          <w:sz w:val="20"/>
          <w:szCs w:val="20"/>
        </w:rPr>
        <w:t xml:space="preserve">ADLI         </w:t>
      </w:r>
      <w:r w:rsidRPr="0052279A">
        <w:rPr>
          <w:rFonts w:ascii="Garamond" w:hAnsi="Garamond"/>
          <w:sz w:val="20"/>
          <w:szCs w:val="20"/>
        </w:rPr>
        <w:t xml:space="preserve">Agricultural Development Led Industrialization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AfDB         African Development Bank</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CAP           Common Africa Position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CRGE        Climate Resilient Green Economy</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CSA            Central Statistical Agency</w:t>
      </w:r>
    </w:p>
    <w:p w:rsidR="0052279A" w:rsidRPr="0052279A" w:rsidRDefault="0052279A" w:rsidP="0052279A">
      <w:pPr>
        <w:spacing w:after="0" w:line="240" w:lineRule="auto"/>
        <w:rPr>
          <w:rFonts w:ascii="Garamond" w:hAnsi="Garamond"/>
          <w:color w:val="000000"/>
          <w:sz w:val="20"/>
          <w:szCs w:val="20"/>
        </w:rPr>
      </w:pPr>
      <w:r w:rsidRPr="0052279A">
        <w:rPr>
          <w:rFonts w:ascii="Garamond" w:hAnsi="Garamond"/>
          <w:color w:val="000000"/>
          <w:sz w:val="20"/>
          <w:szCs w:val="20"/>
        </w:rPr>
        <w:t xml:space="preserve">CSD            Council for Sustainable Development </w:t>
      </w:r>
    </w:p>
    <w:p w:rsidR="0052279A" w:rsidRPr="0052279A" w:rsidRDefault="0052279A" w:rsidP="0052279A">
      <w:pPr>
        <w:spacing w:after="0" w:line="240" w:lineRule="auto"/>
        <w:rPr>
          <w:rFonts w:ascii="Garamond" w:hAnsi="Garamond"/>
          <w:sz w:val="20"/>
          <w:szCs w:val="20"/>
        </w:rPr>
      </w:pPr>
      <w:r w:rsidRPr="0052279A">
        <w:rPr>
          <w:rFonts w:ascii="Garamond" w:hAnsi="Garamond" w:cs="Tahoma"/>
          <w:sz w:val="20"/>
          <w:szCs w:val="20"/>
        </w:rPr>
        <w:t xml:space="preserve">DAG           Development Assistance Group </w:t>
      </w:r>
    </w:p>
    <w:p w:rsidR="0052279A" w:rsidRPr="0052279A" w:rsidRDefault="0052279A" w:rsidP="0052279A">
      <w:pPr>
        <w:spacing w:after="0" w:line="240" w:lineRule="auto"/>
        <w:rPr>
          <w:rFonts w:ascii="Garamond" w:hAnsi="Garamond"/>
          <w:bCs/>
          <w:sz w:val="20"/>
          <w:szCs w:val="20"/>
        </w:rPr>
      </w:pPr>
      <w:r w:rsidRPr="0052279A">
        <w:rPr>
          <w:rFonts w:ascii="Garamond" w:hAnsi="Garamond"/>
          <w:bCs/>
          <w:sz w:val="20"/>
          <w:szCs w:val="20"/>
        </w:rPr>
        <w:t xml:space="preserve">DFID          Department for International Development </w:t>
      </w:r>
    </w:p>
    <w:p w:rsidR="0052279A" w:rsidRDefault="0052279A" w:rsidP="0052279A">
      <w:pPr>
        <w:spacing w:after="0" w:line="240" w:lineRule="auto"/>
        <w:rPr>
          <w:rFonts w:ascii="Garamond" w:hAnsi="Garamond"/>
          <w:bCs/>
          <w:sz w:val="20"/>
          <w:szCs w:val="20"/>
        </w:rPr>
      </w:pPr>
      <w:r w:rsidRPr="0052279A">
        <w:rPr>
          <w:rFonts w:ascii="Garamond" w:hAnsi="Garamond"/>
          <w:bCs/>
          <w:sz w:val="20"/>
          <w:szCs w:val="20"/>
        </w:rPr>
        <w:t xml:space="preserve">DRM           Domestic Resource mobilization </w:t>
      </w:r>
    </w:p>
    <w:p w:rsidR="00FC7BAA" w:rsidRPr="0052279A" w:rsidRDefault="00FC7BAA" w:rsidP="0052279A">
      <w:pPr>
        <w:spacing w:after="0" w:line="240" w:lineRule="auto"/>
        <w:rPr>
          <w:rFonts w:ascii="Garamond" w:hAnsi="Garamond"/>
          <w:bCs/>
          <w:sz w:val="20"/>
          <w:szCs w:val="20"/>
        </w:rPr>
      </w:pPr>
      <w:r>
        <w:rPr>
          <w:rFonts w:ascii="Garamond" w:hAnsi="Garamond"/>
          <w:bCs/>
          <w:sz w:val="20"/>
          <w:szCs w:val="20"/>
        </w:rPr>
        <w:t xml:space="preserve">ERCA          Ethiopian Revenues and Customs Authority </w:t>
      </w:r>
    </w:p>
    <w:p w:rsidR="0052279A" w:rsidRPr="0052279A" w:rsidRDefault="0052279A" w:rsidP="0052279A">
      <w:pPr>
        <w:spacing w:after="0" w:line="240" w:lineRule="auto"/>
        <w:rPr>
          <w:rFonts w:ascii="Garamond" w:hAnsi="Garamond"/>
          <w:bCs/>
          <w:sz w:val="20"/>
          <w:szCs w:val="20"/>
        </w:rPr>
      </w:pPr>
      <w:r w:rsidRPr="0052279A">
        <w:rPr>
          <w:rFonts w:ascii="Garamond" w:hAnsi="Garamond"/>
          <w:bCs/>
          <w:sz w:val="20"/>
          <w:szCs w:val="20"/>
        </w:rPr>
        <w:t>ETB             Ethiopian Birr</w:t>
      </w:r>
    </w:p>
    <w:p w:rsidR="0052279A" w:rsidRPr="0052279A" w:rsidRDefault="0052279A" w:rsidP="0052279A">
      <w:pPr>
        <w:spacing w:after="0" w:line="240" w:lineRule="auto"/>
        <w:rPr>
          <w:rFonts w:ascii="Garamond" w:hAnsi="Garamond"/>
          <w:bCs/>
          <w:sz w:val="20"/>
          <w:szCs w:val="20"/>
        </w:rPr>
      </w:pPr>
      <w:r w:rsidRPr="0052279A">
        <w:rPr>
          <w:rFonts w:ascii="Garamond" w:hAnsi="Garamond"/>
          <w:bCs/>
          <w:sz w:val="20"/>
          <w:szCs w:val="20"/>
        </w:rPr>
        <w:t xml:space="preserve">EU               European Union </w:t>
      </w:r>
    </w:p>
    <w:p w:rsidR="0052279A" w:rsidRPr="0052279A" w:rsidRDefault="0052279A" w:rsidP="0052279A">
      <w:pPr>
        <w:spacing w:after="0" w:line="240" w:lineRule="auto"/>
        <w:rPr>
          <w:rFonts w:ascii="Garamond" w:hAnsi="Garamond"/>
          <w:bCs/>
          <w:sz w:val="20"/>
          <w:szCs w:val="20"/>
        </w:rPr>
      </w:pPr>
      <w:r w:rsidRPr="0052279A">
        <w:rPr>
          <w:rFonts w:ascii="Garamond" w:hAnsi="Garamond"/>
          <w:bCs/>
          <w:sz w:val="20"/>
          <w:szCs w:val="20"/>
        </w:rPr>
        <w:t xml:space="preserve">FDI              Foreign Direct Investment </w:t>
      </w:r>
    </w:p>
    <w:p w:rsidR="0052279A" w:rsidRDefault="0052279A" w:rsidP="0052279A">
      <w:pPr>
        <w:spacing w:after="0" w:line="240" w:lineRule="auto"/>
        <w:rPr>
          <w:rFonts w:ascii="Garamond" w:hAnsi="Garamond"/>
          <w:bCs/>
          <w:sz w:val="20"/>
          <w:szCs w:val="20"/>
        </w:rPr>
      </w:pPr>
      <w:r w:rsidRPr="0052279A">
        <w:rPr>
          <w:rFonts w:ascii="Garamond" w:hAnsi="Garamond"/>
          <w:bCs/>
          <w:sz w:val="20"/>
          <w:szCs w:val="20"/>
        </w:rPr>
        <w:t xml:space="preserve">FDRE          Federal Democratic Republic of Ethiopia </w:t>
      </w:r>
    </w:p>
    <w:p w:rsidR="005A3969" w:rsidRPr="0052279A" w:rsidRDefault="005A3969" w:rsidP="0052279A">
      <w:pPr>
        <w:spacing w:after="0" w:line="240" w:lineRule="auto"/>
        <w:rPr>
          <w:rFonts w:ascii="Garamond" w:hAnsi="Garamond"/>
          <w:bCs/>
          <w:sz w:val="20"/>
          <w:szCs w:val="20"/>
        </w:rPr>
      </w:pPr>
      <w:r>
        <w:rPr>
          <w:rFonts w:ascii="Garamond" w:hAnsi="Garamond"/>
          <w:bCs/>
          <w:sz w:val="20"/>
          <w:szCs w:val="20"/>
        </w:rPr>
        <w:t>FeMSEDA   Federal Micro and Small Enterprises Development Agency</w:t>
      </w:r>
    </w:p>
    <w:p w:rsidR="0052279A" w:rsidRPr="0052279A" w:rsidRDefault="0052279A" w:rsidP="0052279A">
      <w:pPr>
        <w:spacing w:after="0" w:line="240" w:lineRule="auto"/>
        <w:rPr>
          <w:rFonts w:ascii="Garamond" w:hAnsi="Garamond"/>
          <w:bCs/>
          <w:sz w:val="20"/>
          <w:szCs w:val="20"/>
        </w:rPr>
      </w:pPr>
      <w:r w:rsidRPr="0052279A">
        <w:rPr>
          <w:rFonts w:ascii="Garamond" w:hAnsi="Garamond"/>
          <w:bCs/>
          <w:sz w:val="20"/>
          <w:szCs w:val="20"/>
        </w:rPr>
        <w:t xml:space="preserve">FfD              Finance for Development </w:t>
      </w:r>
    </w:p>
    <w:p w:rsidR="0052279A" w:rsidRPr="0052279A" w:rsidRDefault="0052279A" w:rsidP="0052279A">
      <w:pPr>
        <w:spacing w:after="0" w:line="240" w:lineRule="auto"/>
        <w:rPr>
          <w:rFonts w:ascii="Garamond" w:hAnsi="Garamond"/>
          <w:bCs/>
          <w:sz w:val="20"/>
          <w:szCs w:val="20"/>
        </w:rPr>
      </w:pPr>
      <w:r w:rsidRPr="0052279A">
        <w:rPr>
          <w:rFonts w:ascii="Garamond" w:hAnsi="Garamond"/>
          <w:bCs/>
          <w:sz w:val="20"/>
          <w:szCs w:val="20"/>
        </w:rPr>
        <w:t>GCF             Green Climate Fund</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GDP            Gross domestic product </w:t>
      </w:r>
    </w:p>
    <w:p w:rsidR="0052279A" w:rsidRPr="0052279A" w:rsidRDefault="0052279A" w:rsidP="0052279A">
      <w:pPr>
        <w:spacing w:after="0" w:line="240" w:lineRule="auto"/>
        <w:rPr>
          <w:rFonts w:ascii="Garamond" w:hAnsi="Garamond"/>
          <w:sz w:val="20"/>
          <w:szCs w:val="20"/>
        </w:rPr>
      </w:pPr>
      <w:r w:rsidRPr="0052279A">
        <w:rPr>
          <w:rFonts w:ascii="Garamond" w:hAnsi="Garamond" w:cs="Tahoma"/>
          <w:sz w:val="20"/>
          <w:szCs w:val="20"/>
        </w:rPr>
        <w:t>GoE             Government of Ethiopia</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GTP             Growth and Transformation Plan</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IAIPs            Integrated agro-industrial parks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IPDC            Industrial Development Corporation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LDCs            Least Developed Countries</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LPI               Logistics Performance Index</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M&amp;E            Monitoring and Evaluation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MFIs            Micro finance institutions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MoANR       Ministry of Agriculture and Natural Resources</w:t>
      </w:r>
    </w:p>
    <w:p w:rsid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MoFED       Ministry of Finance and Economic Development  </w:t>
      </w:r>
    </w:p>
    <w:p w:rsidR="005A3969" w:rsidRPr="0052279A" w:rsidRDefault="005A3969" w:rsidP="0052279A">
      <w:pPr>
        <w:spacing w:after="0" w:line="240" w:lineRule="auto"/>
        <w:rPr>
          <w:rFonts w:ascii="Garamond" w:hAnsi="Garamond"/>
          <w:sz w:val="20"/>
          <w:szCs w:val="20"/>
        </w:rPr>
      </w:pPr>
      <w:r>
        <w:rPr>
          <w:rFonts w:ascii="Garamond" w:hAnsi="Garamond"/>
          <w:sz w:val="20"/>
          <w:szCs w:val="20"/>
        </w:rPr>
        <w:t>MoH            Ministry of Health</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MoI             Ministry of Implementation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MoCS          Ministry of Civil Services</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MoST           Ministry of Science and Technology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MEFCC       Ministry of Environment, Forest and Climate Change</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MoFEC       Ministry of Finance and Economic Cooperation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MoWIE       Ministry of Water, Irrigation and </w:t>
      </w:r>
      <w:r w:rsidR="00027407" w:rsidRPr="0052279A">
        <w:rPr>
          <w:rFonts w:ascii="Garamond" w:hAnsi="Garamond"/>
          <w:sz w:val="20"/>
          <w:szCs w:val="20"/>
        </w:rPr>
        <w:t>E</w:t>
      </w:r>
      <w:r w:rsidR="00027407">
        <w:rPr>
          <w:rFonts w:ascii="Garamond" w:hAnsi="Garamond"/>
          <w:sz w:val="20"/>
          <w:szCs w:val="20"/>
        </w:rPr>
        <w:t xml:space="preserve">lectricity </w:t>
      </w:r>
      <w:r w:rsidRPr="0052279A">
        <w:rPr>
          <w:rFonts w:ascii="Garamond" w:hAnsi="Garamond"/>
          <w:sz w:val="20"/>
          <w:szCs w:val="20"/>
        </w:rPr>
        <w:t xml:space="preserve">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NBE       </w:t>
      </w:r>
      <w:r w:rsidR="00027407">
        <w:rPr>
          <w:rFonts w:ascii="Garamond" w:hAnsi="Garamond"/>
          <w:sz w:val="20"/>
          <w:szCs w:val="20"/>
        </w:rPr>
        <w:t xml:space="preserve">     National Bank of Ethiopia </w:t>
      </w:r>
    </w:p>
    <w:p w:rsidR="0052279A" w:rsidRPr="0052279A" w:rsidRDefault="0052279A" w:rsidP="0052279A">
      <w:pPr>
        <w:spacing w:after="0" w:line="240" w:lineRule="auto"/>
        <w:rPr>
          <w:rFonts w:ascii="Garamond" w:hAnsi="Garamond" w:cs="Garamond"/>
          <w:color w:val="000000"/>
          <w:sz w:val="20"/>
          <w:szCs w:val="20"/>
        </w:rPr>
      </w:pPr>
      <w:r w:rsidRPr="0052279A">
        <w:rPr>
          <w:rFonts w:ascii="Garamond" w:hAnsi="Garamond" w:cs="Garamond"/>
          <w:color w:val="000000"/>
          <w:sz w:val="20"/>
          <w:szCs w:val="20"/>
        </w:rPr>
        <w:t>NEBDCC    National Economic and Business Diplomacy Coordination Committee</w:t>
      </w:r>
    </w:p>
    <w:p w:rsidR="0052279A" w:rsidRPr="0052279A" w:rsidRDefault="0052279A" w:rsidP="0052279A">
      <w:pPr>
        <w:spacing w:after="0" w:line="240" w:lineRule="auto"/>
        <w:rPr>
          <w:rFonts w:ascii="Garamond" w:hAnsi="Garamond" w:cs="Garamond"/>
          <w:color w:val="000000"/>
          <w:sz w:val="20"/>
          <w:szCs w:val="20"/>
        </w:rPr>
      </w:pPr>
      <w:r w:rsidRPr="0052279A">
        <w:rPr>
          <w:rFonts w:ascii="Garamond" w:hAnsi="Garamond" w:cs="Garamond"/>
          <w:color w:val="000000"/>
          <w:sz w:val="20"/>
          <w:szCs w:val="20"/>
        </w:rPr>
        <w:t>NECC         National Export Coordinating Committee</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NPC            National Planning Commission </w:t>
      </w:r>
    </w:p>
    <w:p w:rsidR="0052279A" w:rsidRPr="0052279A" w:rsidRDefault="0052279A" w:rsidP="0052279A">
      <w:pPr>
        <w:spacing w:after="0" w:line="240" w:lineRule="auto"/>
        <w:rPr>
          <w:rFonts w:ascii="Garamond" w:hAnsi="Garamond" w:cs="Garamond"/>
          <w:color w:val="000000"/>
          <w:sz w:val="20"/>
          <w:szCs w:val="20"/>
        </w:rPr>
      </w:pPr>
      <w:r w:rsidRPr="0052279A">
        <w:rPr>
          <w:rFonts w:ascii="Garamond" w:hAnsi="Garamond" w:cs="Garamond"/>
          <w:color w:val="000000"/>
          <w:sz w:val="20"/>
          <w:szCs w:val="20"/>
        </w:rPr>
        <w:t>NPSCSC      National Productive Sector Competitiveness Support Council</w:t>
      </w:r>
    </w:p>
    <w:p w:rsidR="0052279A" w:rsidRPr="0052279A" w:rsidRDefault="0052279A" w:rsidP="0052279A">
      <w:pPr>
        <w:spacing w:after="0" w:line="240" w:lineRule="auto"/>
        <w:rPr>
          <w:rFonts w:ascii="Garamond" w:hAnsi="Garamond" w:cs="Garamond"/>
          <w:color w:val="000000"/>
          <w:sz w:val="20"/>
          <w:szCs w:val="20"/>
        </w:rPr>
      </w:pPr>
      <w:r w:rsidRPr="0052279A">
        <w:rPr>
          <w:rFonts w:ascii="Garamond" w:hAnsi="Garamond" w:cs="Garamond"/>
          <w:color w:val="000000"/>
          <w:sz w:val="20"/>
          <w:szCs w:val="20"/>
        </w:rPr>
        <w:t xml:space="preserve">ODA           Official Development Assistance </w:t>
      </w:r>
    </w:p>
    <w:p w:rsidR="0052279A" w:rsidRPr="0052279A" w:rsidRDefault="0052279A" w:rsidP="0052279A">
      <w:pPr>
        <w:spacing w:after="0" w:line="240" w:lineRule="auto"/>
        <w:rPr>
          <w:rFonts w:ascii="Garamond" w:eastAsia="Calibri" w:hAnsi="Garamond"/>
          <w:sz w:val="20"/>
          <w:szCs w:val="20"/>
        </w:rPr>
      </w:pPr>
      <w:r w:rsidRPr="0052279A">
        <w:rPr>
          <w:rFonts w:ascii="Garamond" w:eastAsia="Calibri" w:hAnsi="Garamond"/>
          <w:sz w:val="20"/>
          <w:szCs w:val="20"/>
        </w:rPr>
        <w:t xml:space="preserve">PASDEP     Plan for Accelerated and Sustainable Development to End Poverty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PPP             Public-private partnership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SD               Sustainable Development </w:t>
      </w:r>
    </w:p>
    <w:p w:rsidR="0052279A" w:rsidRPr="0052279A" w:rsidRDefault="0052279A" w:rsidP="0052279A">
      <w:pPr>
        <w:spacing w:after="0" w:line="240" w:lineRule="auto"/>
        <w:rPr>
          <w:rFonts w:ascii="Garamond" w:hAnsi="Garamond" w:cs="Calibri"/>
          <w:sz w:val="20"/>
          <w:szCs w:val="20"/>
        </w:rPr>
      </w:pPr>
      <w:r w:rsidRPr="0052279A">
        <w:rPr>
          <w:rFonts w:ascii="Garamond" w:hAnsi="Garamond" w:cs="Calibri"/>
          <w:sz w:val="20"/>
          <w:szCs w:val="20"/>
        </w:rPr>
        <w:t xml:space="preserve">SDC            Sustainable Development Council </w:t>
      </w:r>
    </w:p>
    <w:p w:rsidR="0052279A" w:rsidRPr="0052279A" w:rsidRDefault="0052279A" w:rsidP="0052279A">
      <w:pPr>
        <w:spacing w:after="0" w:line="240" w:lineRule="auto"/>
        <w:rPr>
          <w:rFonts w:ascii="Garamond" w:hAnsi="Garamond"/>
          <w:sz w:val="20"/>
          <w:szCs w:val="20"/>
        </w:rPr>
      </w:pPr>
      <w:r w:rsidRPr="0052279A">
        <w:rPr>
          <w:rFonts w:ascii="Garamond" w:eastAsia="Calibri" w:hAnsi="Garamond"/>
          <w:sz w:val="20"/>
          <w:szCs w:val="20"/>
        </w:rPr>
        <w:t xml:space="preserve">SDPRP        </w:t>
      </w:r>
      <w:r w:rsidRPr="0052279A">
        <w:rPr>
          <w:rFonts w:ascii="Garamond" w:hAnsi="Garamond" w:cs="TimesNewRoman"/>
          <w:sz w:val="20"/>
          <w:szCs w:val="20"/>
        </w:rPr>
        <w:t>Sustainable Development and Poverty Reduction Plan</w:t>
      </w:r>
      <w:r w:rsidRPr="0052279A">
        <w:rPr>
          <w:rFonts w:ascii="Garamond" w:eastAsia="Calibri" w:hAnsi="Garamond"/>
          <w:sz w:val="20"/>
          <w:szCs w:val="20"/>
        </w:rPr>
        <w:t xml:space="preserve">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SDGs          Sustainable Development Goals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TOT           Turnover Tax</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UNDAF     United Nations Assistance Framework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UNDP        United Nations Development Programme</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UNDESA   United Nations Department of Economic and Social Affairs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UNIDO      United Nations Industrial Development Organization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 xml:space="preserve">USAID        United States Agency for International Development </w:t>
      </w:r>
    </w:p>
    <w:p w:rsidR="0052279A" w:rsidRPr="0052279A" w:rsidRDefault="0052279A" w:rsidP="0052279A">
      <w:pPr>
        <w:spacing w:after="0" w:line="240" w:lineRule="auto"/>
        <w:rPr>
          <w:rFonts w:ascii="Garamond" w:hAnsi="Garamond"/>
          <w:sz w:val="20"/>
          <w:szCs w:val="20"/>
        </w:rPr>
      </w:pPr>
      <w:r w:rsidRPr="0052279A">
        <w:rPr>
          <w:rFonts w:ascii="Garamond" w:hAnsi="Garamond"/>
          <w:sz w:val="20"/>
          <w:szCs w:val="20"/>
        </w:rPr>
        <w:t>VAT            Value added tax</w:t>
      </w:r>
    </w:p>
    <w:p w:rsidR="0052279A" w:rsidRPr="0052279A" w:rsidRDefault="0052279A" w:rsidP="0052279A">
      <w:pPr>
        <w:rPr>
          <w:rFonts w:ascii="Garamond" w:hAnsi="Garamond"/>
          <w:sz w:val="20"/>
          <w:szCs w:val="20"/>
        </w:rPr>
      </w:pPr>
    </w:p>
    <w:p w:rsidR="00F53E30" w:rsidRPr="007B4CA8" w:rsidRDefault="00F53E30" w:rsidP="00F53E30">
      <w:pPr>
        <w:pStyle w:val="Heading1"/>
        <w:jc w:val="center"/>
        <w:rPr>
          <w:rFonts w:ascii="Garamond" w:hAnsi="Garamond"/>
          <w:b/>
          <w:sz w:val="24"/>
          <w:szCs w:val="24"/>
          <w:lang w:val="en-GB"/>
        </w:rPr>
      </w:pPr>
      <w:bookmarkStart w:id="3" w:name="_Toc486782242"/>
      <w:r w:rsidRPr="00F53E30">
        <w:rPr>
          <w:rFonts w:ascii="Garamond" w:hAnsi="Garamond"/>
          <w:b/>
          <w:sz w:val="24"/>
          <w:szCs w:val="24"/>
        </w:rPr>
        <w:lastRenderedPageBreak/>
        <w:t>List of figures</w:t>
      </w:r>
      <w:bookmarkEnd w:id="3"/>
    </w:p>
    <w:p w:rsidR="00051FC4" w:rsidRPr="005C727E" w:rsidRDefault="00BF3BBC">
      <w:pPr>
        <w:pStyle w:val="TableofFigures"/>
        <w:tabs>
          <w:tab w:val="right" w:leader="dot" w:pos="9350"/>
        </w:tabs>
        <w:rPr>
          <w:rFonts w:ascii="Garamond" w:eastAsiaTheme="minorEastAsia" w:hAnsi="Garamond" w:cstheme="minorBidi"/>
          <w:noProof/>
        </w:rPr>
      </w:pPr>
      <w:r w:rsidRPr="005C727E">
        <w:rPr>
          <w:rFonts w:ascii="Garamond" w:hAnsi="Garamond"/>
          <w:b/>
        </w:rPr>
        <w:fldChar w:fldCharType="begin"/>
      </w:r>
      <w:r w:rsidR="00E10145" w:rsidRPr="005C727E">
        <w:rPr>
          <w:rFonts w:ascii="Garamond" w:hAnsi="Garamond"/>
          <w:b/>
        </w:rPr>
        <w:instrText xml:space="preserve"> TOC \h \z \c "Figure" </w:instrText>
      </w:r>
      <w:r w:rsidRPr="005C727E">
        <w:rPr>
          <w:rFonts w:ascii="Garamond" w:hAnsi="Garamond"/>
          <w:b/>
        </w:rPr>
        <w:fldChar w:fldCharType="separate"/>
      </w:r>
      <w:hyperlink w:anchor="_Toc486585936" w:history="1">
        <w:r w:rsidR="00051FC4" w:rsidRPr="005C727E">
          <w:rPr>
            <w:rStyle w:val="Hyperlink"/>
            <w:rFonts w:ascii="Garamond" w:hAnsi="Garamond"/>
            <w:noProof/>
          </w:rPr>
          <w:t>Figure 1: Development Finance Assessment framework</w:t>
        </w:r>
        <w:r w:rsidR="00051FC4" w:rsidRPr="005C727E">
          <w:rPr>
            <w:rFonts w:ascii="Garamond" w:hAnsi="Garamond"/>
            <w:noProof/>
            <w:webHidden/>
          </w:rPr>
          <w:tab/>
        </w:r>
        <w:r w:rsidRPr="005C727E">
          <w:rPr>
            <w:rFonts w:ascii="Garamond" w:hAnsi="Garamond"/>
            <w:noProof/>
            <w:webHidden/>
          </w:rPr>
          <w:fldChar w:fldCharType="begin"/>
        </w:r>
        <w:r w:rsidR="00051FC4" w:rsidRPr="005C727E">
          <w:rPr>
            <w:rFonts w:ascii="Garamond" w:hAnsi="Garamond"/>
            <w:noProof/>
            <w:webHidden/>
          </w:rPr>
          <w:instrText xml:space="preserve"> PAGEREF _Toc486585936 \h </w:instrText>
        </w:r>
        <w:r w:rsidRPr="005C727E">
          <w:rPr>
            <w:rFonts w:ascii="Garamond" w:hAnsi="Garamond"/>
            <w:noProof/>
            <w:webHidden/>
          </w:rPr>
        </w:r>
        <w:r w:rsidRPr="005C727E">
          <w:rPr>
            <w:rFonts w:ascii="Garamond" w:hAnsi="Garamond"/>
            <w:noProof/>
            <w:webHidden/>
          </w:rPr>
          <w:fldChar w:fldCharType="separate"/>
        </w:r>
        <w:r w:rsidR="008E05FA">
          <w:rPr>
            <w:rFonts w:ascii="Garamond" w:hAnsi="Garamond"/>
            <w:noProof/>
            <w:webHidden/>
          </w:rPr>
          <w:t>18</w:t>
        </w:r>
        <w:r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37" w:history="1">
        <w:r w:rsidR="00051FC4" w:rsidRPr="005C727E">
          <w:rPr>
            <w:rStyle w:val="Hyperlink"/>
            <w:rFonts w:ascii="Garamond" w:hAnsi="Garamond" w:cs="FuturaBT-Book"/>
            <w:noProof/>
          </w:rPr>
          <w:t xml:space="preserve">Figure </w:t>
        </w:r>
        <w:r w:rsidR="00051FC4" w:rsidRPr="005C727E">
          <w:rPr>
            <w:rStyle w:val="Hyperlink"/>
            <w:rFonts w:ascii="Garamond" w:hAnsi="Garamond"/>
            <w:noProof/>
          </w:rPr>
          <w:t>2</w:t>
        </w:r>
        <w:r w:rsidR="00051FC4" w:rsidRPr="005C727E">
          <w:rPr>
            <w:rStyle w:val="Hyperlink"/>
            <w:rFonts w:ascii="Garamond" w:hAnsi="Garamond" w:cs="FuturaBT-Book"/>
            <w:noProof/>
          </w:rPr>
          <w:t>: Operational framework</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_Toc486585937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19</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38" w:history="1">
        <w:r w:rsidR="00051FC4" w:rsidRPr="005C727E">
          <w:rPr>
            <w:rStyle w:val="Hyperlink"/>
            <w:rFonts w:ascii="Garamond" w:hAnsi="Garamond"/>
            <w:noProof/>
          </w:rPr>
          <w:t>Figure 3: Evolution of sectoral development policies and strategies</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_Toc486585938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27</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39" w:history="1">
        <w:r w:rsidR="00051FC4" w:rsidRPr="005C727E">
          <w:rPr>
            <w:rStyle w:val="Hyperlink"/>
            <w:rFonts w:ascii="Garamond" w:eastAsia="Calibri" w:hAnsi="Garamond"/>
            <w:noProof/>
          </w:rPr>
          <w:t>Figure</w:t>
        </w:r>
        <w:r w:rsidR="00051FC4" w:rsidRPr="005C727E">
          <w:rPr>
            <w:rStyle w:val="Hyperlink"/>
            <w:rFonts w:ascii="Garamond" w:hAnsi="Garamond"/>
            <w:noProof/>
          </w:rPr>
          <w:t xml:space="preserve"> 4</w:t>
        </w:r>
        <w:r w:rsidR="00051FC4" w:rsidRPr="005C727E">
          <w:rPr>
            <w:rStyle w:val="Hyperlink"/>
            <w:rFonts w:ascii="Garamond" w:eastAsia="Calibri" w:hAnsi="Garamond"/>
            <w:noProof/>
          </w:rPr>
          <w:t>: Timelines of development plans</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_Toc486585939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28</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40" w:history="1">
        <w:r w:rsidR="00051FC4" w:rsidRPr="005C727E">
          <w:rPr>
            <w:rStyle w:val="Hyperlink"/>
            <w:rFonts w:ascii="Garamond" w:hAnsi="Garamond"/>
            <w:noProof/>
          </w:rPr>
          <w:t>Figure 5: Pillars of GTP-II</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_Toc486585940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29</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41" w:history="1">
        <w:r w:rsidR="00051FC4" w:rsidRPr="005C727E">
          <w:rPr>
            <w:rStyle w:val="Hyperlink"/>
            <w:rFonts w:ascii="Garamond" w:hAnsi="Garamond" w:cs="MyriadPro-Cond"/>
            <w:noProof/>
          </w:rPr>
          <w:t>Figure</w:t>
        </w:r>
        <w:r w:rsidR="00051FC4" w:rsidRPr="005C727E">
          <w:rPr>
            <w:rStyle w:val="Hyperlink"/>
            <w:rFonts w:ascii="Garamond" w:hAnsi="Garamond"/>
            <w:noProof/>
          </w:rPr>
          <w:t xml:space="preserve"> 6</w:t>
        </w:r>
        <w:r w:rsidR="00051FC4" w:rsidRPr="005C727E">
          <w:rPr>
            <w:rStyle w:val="Hyperlink"/>
            <w:rFonts w:ascii="Garamond" w:hAnsi="Garamond" w:cs="MyriadPro-Cond"/>
            <w:noProof/>
          </w:rPr>
          <w:t xml:space="preserve">: Distribution of projected capital expenditure requirements by major socioeconomic sectors (Percent) </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_Toc486585941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30</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42" w:history="1">
        <w:r w:rsidR="00051FC4" w:rsidRPr="005C727E">
          <w:rPr>
            <w:rStyle w:val="Hyperlink"/>
            <w:rFonts w:ascii="Garamond" w:hAnsi="Garamond" w:cs="MyriadPro-Cond"/>
            <w:noProof/>
          </w:rPr>
          <w:t>Figure</w:t>
        </w:r>
        <w:r w:rsidR="00051FC4" w:rsidRPr="005C727E">
          <w:rPr>
            <w:rStyle w:val="Hyperlink"/>
            <w:rFonts w:ascii="Garamond" w:hAnsi="Garamond"/>
            <w:noProof/>
          </w:rPr>
          <w:t xml:space="preserve"> 7</w:t>
        </w:r>
        <w:r w:rsidR="00051FC4" w:rsidRPr="005C727E">
          <w:rPr>
            <w:rStyle w:val="Hyperlink"/>
            <w:rFonts w:ascii="Garamond" w:hAnsi="Garamond" w:cs="MyriadPro-Cond"/>
            <w:noProof/>
          </w:rPr>
          <w:t>: Institutional arrangement and planning processes in the preparation of medium term plan</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_Toc486585942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32</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43" w:history="1">
        <w:r w:rsidR="00051FC4" w:rsidRPr="005C727E">
          <w:rPr>
            <w:rStyle w:val="Hyperlink"/>
            <w:rFonts w:ascii="Garamond" w:hAnsi="Garamond"/>
            <w:noProof/>
          </w:rPr>
          <w:t>Figure 8: Share of tax and non-tax revenues in total revenue excluding grants (Percent)</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_Toc486585943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37</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44" w:history="1">
        <w:r w:rsidR="00051FC4" w:rsidRPr="005C727E">
          <w:rPr>
            <w:rStyle w:val="Hyperlink"/>
            <w:rFonts w:ascii="Garamond" w:hAnsi="Garamond"/>
            <w:noProof/>
          </w:rPr>
          <w:t>Figure 9: Share of tax and non-tax revenues in GDP (Percent)</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_Toc486585944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38</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45" w:history="1">
        <w:r w:rsidR="00051FC4" w:rsidRPr="005C727E">
          <w:rPr>
            <w:rStyle w:val="Hyperlink"/>
            <w:rFonts w:ascii="Garamond" w:hAnsi="Garamond" w:cs="Arial"/>
            <w:noProof/>
          </w:rPr>
          <w:t>Figure</w:t>
        </w:r>
        <w:r w:rsidR="00051FC4" w:rsidRPr="005C727E">
          <w:rPr>
            <w:rStyle w:val="Hyperlink"/>
            <w:rFonts w:ascii="Garamond" w:hAnsi="Garamond"/>
            <w:noProof/>
          </w:rPr>
          <w:t xml:space="preserve"> 10</w:t>
        </w:r>
        <w:r w:rsidR="00051FC4" w:rsidRPr="005C727E">
          <w:rPr>
            <w:rStyle w:val="Hyperlink"/>
            <w:rFonts w:ascii="Garamond" w:hAnsi="Garamond" w:cs="Arial"/>
            <w:noProof/>
          </w:rPr>
          <w:t>: International comparison of tax compliance costs</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_Toc486585945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39</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46" w:history="1">
        <w:r w:rsidR="00051FC4" w:rsidRPr="005C727E">
          <w:rPr>
            <w:rStyle w:val="Hyperlink"/>
            <w:rFonts w:ascii="Garamond" w:hAnsi="Garamond"/>
            <w:noProof/>
          </w:rPr>
          <w:t>Figure 11: Percent of total annual sales declared for tax purposes by turnover in Ethiopia</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_Toc486585946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39</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47" w:history="1">
        <w:r w:rsidR="00051FC4" w:rsidRPr="005C727E">
          <w:rPr>
            <w:rStyle w:val="Hyperlink"/>
            <w:rFonts w:ascii="Garamond" w:hAnsi="Garamond"/>
            <w:noProof/>
          </w:rPr>
          <w:t>Figure 12: Percent of actual expenditure overstated in tax returns by turnover in Ethiopia</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_Toc486585947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40</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48" w:history="1">
        <w:r w:rsidR="00051FC4" w:rsidRPr="005C727E">
          <w:rPr>
            <w:rStyle w:val="Hyperlink"/>
            <w:rFonts w:ascii="Garamond" w:hAnsi="Garamond"/>
            <w:noProof/>
          </w:rPr>
          <w:t>Figure 13: Revenue foregone (in Billion ETB)</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_Toc486585948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40</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49" w:history="1">
        <w:r w:rsidR="00051FC4" w:rsidRPr="005C727E">
          <w:rPr>
            <w:rStyle w:val="Hyperlink"/>
            <w:rFonts w:ascii="Garamond" w:hAnsi="Garamond"/>
            <w:noProof/>
          </w:rPr>
          <w:t>Figure 14: Illicit financial outflows through misinvoicing international trade transactions (Million USD)</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_Toc486585949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41</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50" w:history="1">
        <w:r w:rsidR="00051FC4" w:rsidRPr="005C727E">
          <w:rPr>
            <w:rStyle w:val="Hyperlink"/>
            <w:rFonts w:ascii="Garamond" w:hAnsi="Garamond"/>
            <w:noProof/>
          </w:rPr>
          <w:t>Figure 15: Composition of loanable fund from banks (In billion birr)</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_Toc486585950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43</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51" w:history="1">
        <w:r w:rsidR="00051FC4" w:rsidRPr="005C727E">
          <w:rPr>
            <w:rStyle w:val="Hyperlink"/>
            <w:rFonts w:ascii="Garamond" w:hAnsi="Garamond"/>
            <w:noProof/>
          </w:rPr>
          <w:t>Figure 16: Pension fund and Treasury bills (In million birr)</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_Toc486585951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43</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52" w:history="1">
        <w:r w:rsidR="00051FC4" w:rsidRPr="005C727E">
          <w:rPr>
            <w:rStyle w:val="Hyperlink"/>
            <w:rFonts w:ascii="Garamond" w:hAnsi="Garamond"/>
            <w:noProof/>
          </w:rPr>
          <w:t>Figure 17: Credit by borrower (Percent of total credit)</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_Toc486585952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44</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53" w:history="1">
        <w:r w:rsidR="00051FC4" w:rsidRPr="005C727E">
          <w:rPr>
            <w:rStyle w:val="Hyperlink"/>
            <w:rFonts w:ascii="Garamond" w:hAnsi="Garamond"/>
            <w:noProof/>
          </w:rPr>
          <w:t>Figure 18: Currency outside banks (In billion ETB)</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_Toc486585953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44</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54" w:history="1">
        <w:r w:rsidR="00051FC4" w:rsidRPr="005C727E">
          <w:rPr>
            <w:rStyle w:val="Hyperlink"/>
            <w:rFonts w:ascii="Garamond" w:hAnsi="Garamond"/>
            <w:noProof/>
          </w:rPr>
          <w:t>Figure 19: Trends in licensed domestic private investment (Percent share)</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_Toc486585954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46</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55" w:history="1">
        <w:r w:rsidR="00051FC4" w:rsidRPr="005C727E">
          <w:rPr>
            <w:rStyle w:val="Hyperlink"/>
            <w:rFonts w:ascii="Garamond" w:eastAsiaTheme="minorHAnsi" w:hAnsi="Garamond" w:cs="MyriadPro-Regular"/>
            <w:noProof/>
          </w:rPr>
          <w:t xml:space="preserve">Figure </w:t>
        </w:r>
        <w:r w:rsidR="00051FC4" w:rsidRPr="005C727E">
          <w:rPr>
            <w:rStyle w:val="Hyperlink"/>
            <w:rFonts w:ascii="Garamond" w:hAnsi="Garamond"/>
            <w:noProof/>
          </w:rPr>
          <w:t>20: Trends in key indicators of MFIs</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_Toc486585955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50</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56" w:history="1">
        <w:r w:rsidR="00051FC4" w:rsidRPr="005C727E">
          <w:rPr>
            <w:rStyle w:val="Hyperlink"/>
            <w:rFonts w:ascii="Garamond" w:hAnsi="Garamond"/>
            <w:noProof/>
          </w:rPr>
          <w:t xml:space="preserve">Figure 21: </w:t>
        </w:r>
        <w:r w:rsidR="00051FC4" w:rsidRPr="005C727E">
          <w:rPr>
            <w:rStyle w:val="Hyperlink"/>
            <w:rFonts w:ascii="Garamond" w:eastAsiaTheme="minorHAnsi" w:hAnsi="Garamond" w:cs="Microsoft Sans Serif"/>
            <w:noProof/>
          </w:rPr>
          <w:t>Climate change relevant expenditure at by the federal government (Percent of GDP)</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_Toc486585956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51</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57" w:history="1">
        <w:r w:rsidR="00051FC4" w:rsidRPr="005C727E">
          <w:rPr>
            <w:rStyle w:val="Hyperlink"/>
            <w:rFonts w:ascii="Garamond" w:hAnsi="Garamond"/>
            <w:noProof/>
          </w:rPr>
          <w:t>Figure 22: Grants and loans as a share of GDP (Percent)</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_Toc486585957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52</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58" w:history="1">
        <w:r w:rsidR="00051FC4" w:rsidRPr="005C727E">
          <w:rPr>
            <w:rStyle w:val="Hyperlink"/>
            <w:rFonts w:ascii="Garamond" w:hAnsi="Garamond"/>
            <w:noProof/>
          </w:rPr>
          <w:t>Figure 23: Loans disbursed as a share of commitment by type of loan provider (Percent)</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_Toc486585958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53</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59" w:history="1">
        <w:r w:rsidR="00051FC4" w:rsidRPr="005C727E">
          <w:rPr>
            <w:rStyle w:val="Hyperlink"/>
            <w:rFonts w:ascii="Garamond" w:eastAsiaTheme="minorHAnsi" w:hAnsi="Garamond" w:cs="MyriadPro-Bold"/>
            <w:noProof/>
          </w:rPr>
          <w:t>Figure</w:t>
        </w:r>
        <w:r w:rsidR="00051FC4" w:rsidRPr="005C727E">
          <w:rPr>
            <w:rStyle w:val="Hyperlink"/>
            <w:rFonts w:ascii="Garamond" w:hAnsi="Garamond"/>
            <w:noProof/>
          </w:rPr>
          <w:t xml:space="preserve"> 24: </w:t>
        </w:r>
        <w:r w:rsidR="00051FC4" w:rsidRPr="005C727E">
          <w:rPr>
            <w:rStyle w:val="Hyperlink"/>
            <w:rFonts w:ascii="Garamond" w:eastAsiaTheme="minorHAnsi" w:hAnsi="Garamond" w:cs="MyriadPro-Bold"/>
            <w:noProof/>
          </w:rPr>
          <w:t>Breakdown of ODA commitments by sector 2010/11–2015/16 (Percent of total grants and loans)</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_Toc486585959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54</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60" w:history="1">
        <w:r w:rsidR="00051FC4" w:rsidRPr="005C727E">
          <w:rPr>
            <w:rStyle w:val="Hyperlink"/>
            <w:rFonts w:ascii="Garamond" w:hAnsi="Garamond"/>
            <w:noProof/>
          </w:rPr>
          <w:t>Figure 25: Domestic debt (Percent of total domestic debt)</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_Toc486585960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54</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61" w:history="1">
        <w:r w:rsidR="00051FC4" w:rsidRPr="005C727E">
          <w:rPr>
            <w:rStyle w:val="Hyperlink"/>
            <w:rFonts w:ascii="Garamond" w:hAnsi="Garamond"/>
            <w:noProof/>
          </w:rPr>
          <w:t>Figure 26: Components of outstanding external debt (Percent of total external debt)</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_Toc486585961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55</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62" w:history="1">
        <w:r w:rsidR="00051FC4" w:rsidRPr="005C727E">
          <w:rPr>
            <w:rStyle w:val="Hyperlink"/>
            <w:rFonts w:ascii="Garamond" w:hAnsi="Garamond"/>
            <w:noProof/>
          </w:rPr>
          <w:t>Figure 27: Public external debt by sector (Disbursements)</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_Toc486585962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56</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63" w:history="1">
        <w:r w:rsidR="00051FC4" w:rsidRPr="005C727E">
          <w:rPr>
            <w:rStyle w:val="Hyperlink"/>
            <w:rFonts w:ascii="Garamond" w:hAnsi="Garamond"/>
            <w:noProof/>
          </w:rPr>
          <w:t>Figure 28: Remittances flows to Ethiopia (in billion ETB)</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_Toc486585963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58</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64" w:history="1">
        <w:r w:rsidR="00051FC4" w:rsidRPr="005C727E">
          <w:rPr>
            <w:rStyle w:val="Hyperlink"/>
            <w:rFonts w:ascii="Garamond" w:hAnsi="Garamond"/>
            <w:noProof/>
          </w:rPr>
          <w:t>Figure 29: Foreign direct investment (in billion ETB)</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_Toc486585964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59</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65" w:history="1">
        <w:r w:rsidR="00051FC4" w:rsidRPr="005C727E">
          <w:rPr>
            <w:rStyle w:val="Hyperlink"/>
            <w:rFonts w:ascii="Garamond" w:hAnsi="Garamond"/>
            <w:noProof/>
          </w:rPr>
          <w:t>Figure 30: Ethiopia’s rankings on Doing Business topics, 2016</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_Toc486585965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59</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66" w:history="1">
        <w:r w:rsidR="00051FC4" w:rsidRPr="005C727E">
          <w:rPr>
            <w:rStyle w:val="Hyperlink"/>
            <w:rFonts w:ascii="Garamond" w:hAnsi="Garamond"/>
            <w:noProof/>
          </w:rPr>
          <w:t>Figure 31: Ethiopia’s rank in logistics performance index</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_Toc486585966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60</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67" w:history="1">
        <w:r w:rsidR="00051FC4" w:rsidRPr="005C727E">
          <w:rPr>
            <w:rStyle w:val="Hyperlink"/>
            <w:rFonts w:ascii="Garamond" w:eastAsiaTheme="minorHAnsi" w:hAnsi="Garamond" w:cs="MyriadPro-Regular"/>
            <w:noProof/>
          </w:rPr>
          <w:t xml:space="preserve">Figure </w:t>
        </w:r>
        <w:r w:rsidR="00051FC4" w:rsidRPr="005C727E">
          <w:rPr>
            <w:rStyle w:val="Hyperlink"/>
            <w:rFonts w:ascii="Garamond" w:hAnsi="Garamond"/>
            <w:noProof/>
          </w:rPr>
          <w:t>32: Grants and loans (Percent of total ODA)</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_Toc486585967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63</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68" w:history="1">
        <w:r w:rsidR="00051FC4" w:rsidRPr="005C727E">
          <w:rPr>
            <w:rStyle w:val="Hyperlink"/>
            <w:rFonts w:ascii="Garamond" w:eastAsiaTheme="minorHAnsi" w:hAnsi="Garamond" w:cs="MyriadPro-Regular"/>
            <w:noProof/>
          </w:rPr>
          <w:t xml:space="preserve">Figure </w:t>
        </w:r>
        <w:r w:rsidR="00051FC4" w:rsidRPr="005C727E">
          <w:rPr>
            <w:rStyle w:val="Hyperlink"/>
            <w:rFonts w:ascii="Garamond" w:hAnsi="Garamond"/>
            <w:noProof/>
          </w:rPr>
          <w:t>33: Total fund flow (In million USD)</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_Toc486585968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64</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69" w:history="1">
        <w:r w:rsidR="00051FC4" w:rsidRPr="005C727E">
          <w:rPr>
            <w:rStyle w:val="Hyperlink"/>
            <w:rFonts w:ascii="Garamond" w:hAnsi="Garamond" w:cs="Times"/>
            <w:noProof/>
          </w:rPr>
          <w:t>Figure</w:t>
        </w:r>
        <w:r w:rsidR="00051FC4" w:rsidRPr="005C727E">
          <w:rPr>
            <w:rStyle w:val="Hyperlink"/>
            <w:rFonts w:ascii="Garamond" w:hAnsi="Garamond"/>
            <w:noProof/>
          </w:rPr>
          <w:t xml:space="preserve"> 34: Dimensions of the roadmap</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_Toc486585969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67</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70" w:history="1">
        <w:r w:rsidR="00051FC4" w:rsidRPr="005C727E">
          <w:rPr>
            <w:rStyle w:val="Hyperlink"/>
            <w:rFonts w:ascii="Garamond" w:hAnsi="Garamond"/>
            <w:noProof/>
          </w:rPr>
          <w:t>Figure 35: Incorporating the AAAA task force into the Government-development partner’s dialogue architecture</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_Toc486585970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74</w:t>
        </w:r>
        <w:r w:rsidR="00BF3BBC" w:rsidRPr="005C727E">
          <w:rPr>
            <w:rFonts w:ascii="Garamond" w:hAnsi="Garamond"/>
            <w:noProof/>
            <w:webHidden/>
          </w:rPr>
          <w:fldChar w:fldCharType="end"/>
        </w:r>
      </w:hyperlink>
    </w:p>
    <w:p w:rsidR="00216DE6" w:rsidRPr="005C727E" w:rsidRDefault="00BF3BBC" w:rsidP="00E80945">
      <w:pPr>
        <w:spacing w:after="0" w:line="240" w:lineRule="auto"/>
        <w:jc w:val="center"/>
        <w:rPr>
          <w:rFonts w:ascii="Garamond" w:hAnsi="Garamond"/>
          <w:b/>
        </w:rPr>
      </w:pPr>
      <w:r w:rsidRPr="005C727E">
        <w:rPr>
          <w:rFonts w:ascii="Garamond" w:hAnsi="Garamond"/>
          <w:b/>
        </w:rPr>
        <w:fldChar w:fldCharType="end"/>
      </w:r>
    </w:p>
    <w:p w:rsidR="005842C6" w:rsidRPr="005C727E" w:rsidRDefault="005842C6" w:rsidP="00E80945">
      <w:pPr>
        <w:spacing w:after="0" w:line="240" w:lineRule="auto"/>
        <w:jc w:val="center"/>
        <w:rPr>
          <w:rFonts w:ascii="Garamond" w:hAnsi="Garamond"/>
          <w:b/>
        </w:rPr>
      </w:pPr>
    </w:p>
    <w:p w:rsidR="005842C6" w:rsidRPr="005C727E" w:rsidRDefault="005842C6" w:rsidP="00E80945">
      <w:pPr>
        <w:spacing w:after="0" w:line="240" w:lineRule="auto"/>
        <w:jc w:val="center"/>
        <w:rPr>
          <w:rFonts w:ascii="Garamond" w:hAnsi="Garamond"/>
          <w:b/>
        </w:rPr>
      </w:pPr>
    </w:p>
    <w:p w:rsidR="005842C6" w:rsidRPr="005C727E" w:rsidRDefault="005842C6" w:rsidP="00E80945">
      <w:pPr>
        <w:spacing w:after="0" w:line="240" w:lineRule="auto"/>
        <w:jc w:val="center"/>
        <w:rPr>
          <w:rFonts w:ascii="Garamond" w:hAnsi="Garamond"/>
          <w:b/>
        </w:rPr>
      </w:pPr>
    </w:p>
    <w:p w:rsidR="00F53E30" w:rsidRPr="005C727E" w:rsidRDefault="005842C6" w:rsidP="00F53E30">
      <w:pPr>
        <w:pStyle w:val="Heading1"/>
        <w:jc w:val="center"/>
        <w:rPr>
          <w:rFonts w:ascii="Garamond" w:hAnsi="Garamond"/>
          <w:b/>
          <w:sz w:val="24"/>
          <w:szCs w:val="24"/>
        </w:rPr>
      </w:pPr>
      <w:bookmarkStart w:id="4" w:name="_Toc486782243"/>
      <w:r w:rsidRPr="005C727E">
        <w:rPr>
          <w:rFonts w:ascii="Garamond" w:hAnsi="Garamond"/>
          <w:b/>
          <w:sz w:val="24"/>
          <w:szCs w:val="24"/>
        </w:rPr>
        <w:t>List of t</w:t>
      </w:r>
      <w:r w:rsidR="00F53E30" w:rsidRPr="005C727E">
        <w:rPr>
          <w:rFonts w:ascii="Garamond" w:hAnsi="Garamond"/>
          <w:b/>
          <w:sz w:val="24"/>
          <w:szCs w:val="24"/>
        </w:rPr>
        <w:t>ables</w:t>
      </w:r>
      <w:bookmarkEnd w:id="4"/>
    </w:p>
    <w:p w:rsidR="00051FC4" w:rsidRPr="005C727E" w:rsidRDefault="00BF3BBC">
      <w:pPr>
        <w:pStyle w:val="TableofFigures"/>
        <w:tabs>
          <w:tab w:val="right" w:leader="dot" w:pos="9350"/>
        </w:tabs>
        <w:rPr>
          <w:rFonts w:ascii="Garamond" w:eastAsiaTheme="minorEastAsia" w:hAnsi="Garamond" w:cstheme="minorBidi"/>
          <w:noProof/>
        </w:rPr>
      </w:pPr>
      <w:r w:rsidRPr="005C727E">
        <w:rPr>
          <w:rFonts w:ascii="Garamond" w:hAnsi="Garamond"/>
          <w:b/>
        </w:rPr>
        <w:fldChar w:fldCharType="begin"/>
      </w:r>
      <w:r w:rsidR="00F53E30" w:rsidRPr="005C727E">
        <w:rPr>
          <w:rFonts w:ascii="Garamond" w:hAnsi="Garamond"/>
          <w:b/>
        </w:rPr>
        <w:instrText xml:space="preserve"> TOC \h \z \c "Table" </w:instrText>
      </w:r>
      <w:r w:rsidRPr="005C727E">
        <w:rPr>
          <w:rFonts w:ascii="Garamond" w:hAnsi="Garamond"/>
          <w:b/>
        </w:rPr>
        <w:fldChar w:fldCharType="separate"/>
      </w:r>
      <w:hyperlink w:anchor="_Toc486585971" w:history="1">
        <w:r w:rsidR="00051FC4" w:rsidRPr="005C727E">
          <w:rPr>
            <w:rStyle w:val="Hyperlink"/>
            <w:rFonts w:ascii="Garamond" w:hAnsi="Garamond"/>
            <w:noProof/>
          </w:rPr>
          <w:t>Table 1: Grant and loan commitment and disbursement (Million USD)</w:t>
        </w:r>
        <w:r w:rsidR="00051FC4" w:rsidRPr="005C727E">
          <w:rPr>
            <w:rFonts w:ascii="Garamond" w:hAnsi="Garamond"/>
            <w:noProof/>
            <w:webHidden/>
          </w:rPr>
          <w:tab/>
        </w:r>
        <w:r w:rsidRPr="005C727E">
          <w:rPr>
            <w:rFonts w:ascii="Garamond" w:hAnsi="Garamond"/>
            <w:noProof/>
            <w:webHidden/>
          </w:rPr>
          <w:fldChar w:fldCharType="begin"/>
        </w:r>
        <w:r w:rsidR="00051FC4" w:rsidRPr="005C727E">
          <w:rPr>
            <w:rFonts w:ascii="Garamond" w:hAnsi="Garamond"/>
            <w:noProof/>
            <w:webHidden/>
          </w:rPr>
          <w:instrText xml:space="preserve"> PAGEREF _Toc486585971 \h </w:instrText>
        </w:r>
        <w:r w:rsidRPr="005C727E">
          <w:rPr>
            <w:rFonts w:ascii="Garamond" w:hAnsi="Garamond"/>
            <w:noProof/>
            <w:webHidden/>
          </w:rPr>
        </w:r>
        <w:r w:rsidRPr="005C727E">
          <w:rPr>
            <w:rFonts w:ascii="Garamond" w:hAnsi="Garamond"/>
            <w:noProof/>
            <w:webHidden/>
          </w:rPr>
          <w:fldChar w:fldCharType="separate"/>
        </w:r>
        <w:r w:rsidR="008E05FA">
          <w:rPr>
            <w:rFonts w:ascii="Garamond" w:hAnsi="Garamond"/>
            <w:noProof/>
            <w:webHidden/>
          </w:rPr>
          <w:t>53</w:t>
        </w:r>
        <w:r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72" w:history="1">
        <w:r w:rsidR="00051FC4" w:rsidRPr="005C727E">
          <w:rPr>
            <w:rStyle w:val="Hyperlink"/>
            <w:rFonts w:ascii="Garamond" w:hAnsi="Garamond"/>
            <w:noProof/>
          </w:rPr>
          <w:t>Table 2:  Sources of public external debt (Percent of total external debt)</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_Toc486585972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56</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73" w:history="1">
        <w:r w:rsidR="00051FC4" w:rsidRPr="005C727E">
          <w:rPr>
            <w:rStyle w:val="Hyperlink"/>
            <w:rFonts w:ascii="Garamond" w:hAnsi="Garamond"/>
            <w:noProof/>
          </w:rPr>
          <w:t>Table 3: Key indicators of public external debt</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_Toc486585973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56</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74" w:history="1">
        <w:r w:rsidR="00051FC4" w:rsidRPr="005C727E">
          <w:rPr>
            <w:rStyle w:val="Hyperlink"/>
            <w:rFonts w:ascii="Garamond" w:hAnsi="Garamond"/>
            <w:noProof/>
          </w:rPr>
          <w:t>Table 4: External public debt sustainability indicators outlook</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_Toc486585974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57</w:t>
        </w:r>
        <w:r w:rsidR="00BF3BBC" w:rsidRPr="005C727E">
          <w:rPr>
            <w:rFonts w:ascii="Garamond" w:hAnsi="Garamond"/>
            <w:noProof/>
            <w:webHidden/>
          </w:rPr>
          <w:fldChar w:fldCharType="end"/>
        </w:r>
      </w:hyperlink>
    </w:p>
    <w:p w:rsidR="00051FC4" w:rsidRPr="005C727E" w:rsidRDefault="00702115">
      <w:pPr>
        <w:pStyle w:val="TableofFigures"/>
        <w:tabs>
          <w:tab w:val="right" w:leader="dot" w:pos="9350"/>
        </w:tabs>
        <w:rPr>
          <w:rFonts w:ascii="Garamond" w:eastAsiaTheme="minorEastAsia" w:hAnsi="Garamond" w:cstheme="minorBidi"/>
          <w:noProof/>
        </w:rPr>
      </w:pPr>
      <w:hyperlink w:anchor="_Toc486585975" w:history="1">
        <w:r w:rsidR="00051FC4" w:rsidRPr="005C727E">
          <w:rPr>
            <w:rStyle w:val="Hyperlink"/>
            <w:rFonts w:ascii="Garamond" w:hAnsi="Garamond"/>
            <w:noProof/>
          </w:rPr>
          <w:t>Table 7: Matrix of intervention</w:t>
        </w:r>
        <w:r w:rsidR="00051FC4" w:rsidRPr="005C727E">
          <w:rPr>
            <w:rFonts w:ascii="Garamond" w:hAnsi="Garamond"/>
            <w:noProof/>
            <w:webHidden/>
          </w:rPr>
          <w:tab/>
        </w:r>
        <w:r w:rsidR="00BF3BBC" w:rsidRPr="005C727E">
          <w:rPr>
            <w:rFonts w:ascii="Garamond" w:hAnsi="Garamond"/>
            <w:noProof/>
            <w:webHidden/>
          </w:rPr>
          <w:fldChar w:fldCharType="begin"/>
        </w:r>
        <w:r w:rsidR="00051FC4" w:rsidRPr="005C727E">
          <w:rPr>
            <w:rFonts w:ascii="Garamond" w:hAnsi="Garamond"/>
            <w:noProof/>
            <w:webHidden/>
          </w:rPr>
          <w:instrText xml:space="preserve"> PAGEREF _Toc486585975 \h </w:instrText>
        </w:r>
        <w:r w:rsidR="00BF3BBC" w:rsidRPr="005C727E">
          <w:rPr>
            <w:rFonts w:ascii="Garamond" w:hAnsi="Garamond"/>
            <w:noProof/>
            <w:webHidden/>
          </w:rPr>
        </w:r>
        <w:r w:rsidR="00BF3BBC" w:rsidRPr="005C727E">
          <w:rPr>
            <w:rFonts w:ascii="Garamond" w:hAnsi="Garamond"/>
            <w:noProof/>
            <w:webHidden/>
          </w:rPr>
          <w:fldChar w:fldCharType="separate"/>
        </w:r>
        <w:r w:rsidR="008E05FA">
          <w:rPr>
            <w:rFonts w:ascii="Garamond" w:hAnsi="Garamond"/>
            <w:noProof/>
            <w:webHidden/>
          </w:rPr>
          <w:t>75</w:t>
        </w:r>
        <w:r w:rsidR="00BF3BBC" w:rsidRPr="005C727E">
          <w:rPr>
            <w:rFonts w:ascii="Garamond" w:hAnsi="Garamond"/>
            <w:noProof/>
            <w:webHidden/>
          </w:rPr>
          <w:fldChar w:fldCharType="end"/>
        </w:r>
      </w:hyperlink>
    </w:p>
    <w:p w:rsidR="00DA2995" w:rsidRPr="005C727E" w:rsidRDefault="00BF3BBC" w:rsidP="00E80945">
      <w:pPr>
        <w:spacing w:after="0" w:line="240" w:lineRule="auto"/>
        <w:jc w:val="center"/>
        <w:rPr>
          <w:rFonts w:ascii="Garamond" w:hAnsi="Garamond"/>
          <w:b/>
        </w:rPr>
      </w:pPr>
      <w:r w:rsidRPr="005C727E">
        <w:rPr>
          <w:rFonts w:ascii="Garamond" w:hAnsi="Garamond"/>
          <w:b/>
        </w:rPr>
        <w:fldChar w:fldCharType="end"/>
      </w:r>
    </w:p>
    <w:p w:rsidR="00DA2995" w:rsidRPr="00E21DAC" w:rsidRDefault="00DA2995" w:rsidP="00E21DAC">
      <w:pPr>
        <w:pStyle w:val="Heading1"/>
        <w:rPr>
          <w:rFonts w:ascii="Garamond" w:hAnsi="Garamond"/>
          <w:b/>
          <w:sz w:val="24"/>
          <w:szCs w:val="24"/>
        </w:rPr>
      </w:pPr>
      <w:r>
        <w:br w:type="page"/>
      </w:r>
      <w:bookmarkStart w:id="5" w:name="_Toc486782244"/>
      <w:r w:rsidR="00E21DAC" w:rsidRPr="00E21DAC">
        <w:rPr>
          <w:rFonts w:ascii="Garamond" w:hAnsi="Garamond"/>
          <w:b/>
          <w:sz w:val="24"/>
          <w:szCs w:val="24"/>
        </w:rPr>
        <w:lastRenderedPageBreak/>
        <w:t>Acknowledgment</w:t>
      </w:r>
      <w:bookmarkEnd w:id="5"/>
      <w:r w:rsidR="00E21DAC" w:rsidRPr="00E21DAC">
        <w:rPr>
          <w:rFonts w:ascii="Garamond" w:hAnsi="Garamond"/>
          <w:b/>
          <w:sz w:val="24"/>
          <w:szCs w:val="24"/>
        </w:rPr>
        <w:t xml:space="preserve"> </w:t>
      </w:r>
    </w:p>
    <w:p w:rsidR="00072BA5" w:rsidRDefault="00E95EE5" w:rsidP="00E21DAC">
      <w:pPr>
        <w:autoSpaceDE w:val="0"/>
        <w:autoSpaceDN w:val="0"/>
        <w:adjustRightInd w:val="0"/>
        <w:spacing w:after="0" w:line="240" w:lineRule="auto"/>
        <w:jc w:val="both"/>
        <w:rPr>
          <w:rFonts w:ascii="Garamond" w:eastAsiaTheme="minorHAnsi" w:hAnsi="Garamond" w:cs="SFUHelvetica"/>
          <w:color w:val="414142"/>
          <w:sz w:val="24"/>
          <w:szCs w:val="24"/>
          <w:lang w:val="en-GB"/>
        </w:rPr>
      </w:pPr>
      <w:r w:rsidRPr="00E95EE5">
        <w:rPr>
          <w:rFonts w:ascii="Garamond" w:hAnsi="Garamond" w:cs="Frutiger LT Std 45 Light"/>
          <w:color w:val="000000"/>
          <w:sz w:val="24"/>
          <w:szCs w:val="24"/>
        </w:rPr>
        <w:t xml:space="preserve">This report was commissioned by the United Nations Development Programme (UNDP) through </w:t>
      </w:r>
      <w:r w:rsidR="00BA311D">
        <w:rPr>
          <w:rFonts w:ascii="Garamond" w:hAnsi="Garamond" w:cs="Frutiger LT Std 45 Light"/>
          <w:color w:val="000000"/>
          <w:sz w:val="24"/>
          <w:szCs w:val="24"/>
        </w:rPr>
        <w:t xml:space="preserve">the </w:t>
      </w:r>
      <w:r w:rsidRPr="00E95EE5">
        <w:rPr>
          <w:rFonts w:ascii="Garamond" w:hAnsi="Garamond" w:cs="Frutiger LT Std 45 Light"/>
          <w:color w:val="000000"/>
          <w:sz w:val="24"/>
          <w:szCs w:val="24"/>
        </w:rPr>
        <w:t xml:space="preserve">financial support from the Development Assistance Group (DAG). </w:t>
      </w:r>
      <w:r w:rsidR="00E21DAC" w:rsidRPr="00E95EE5">
        <w:rPr>
          <w:rFonts w:ascii="Garamond" w:eastAsiaTheme="minorHAnsi" w:hAnsi="Garamond" w:cs="SFUHelvetica"/>
          <w:color w:val="414142"/>
          <w:sz w:val="24"/>
          <w:szCs w:val="24"/>
          <w:lang w:val="en-GB"/>
        </w:rPr>
        <w:t xml:space="preserve">This study is a product of the joint collaboration </w:t>
      </w:r>
      <w:r w:rsidR="00B23BA3">
        <w:rPr>
          <w:rFonts w:ascii="Garamond" w:eastAsiaTheme="minorHAnsi" w:hAnsi="Garamond" w:cs="SFUHelvetica"/>
          <w:color w:val="414142"/>
          <w:sz w:val="24"/>
          <w:szCs w:val="24"/>
          <w:lang w:val="en-GB"/>
        </w:rPr>
        <w:t xml:space="preserve">between the UNDP and </w:t>
      </w:r>
      <w:r w:rsidR="00E21DAC" w:rsidRPr="00E95EE5">
        <w:rPr>
          <w:rFonts w:ascii="Garamond" w:eastAsiaTheme="minorHAnsi" w:hAnsi="Garamond" w:cs="SFUHelvetica"/>
          <w:color w:val="414142"/>
          <w:sz w:val="24"/>
          <w:szCs w:val="24"/>
          <w:lang w:val="en-GB"/>
        </w:rPr>
        <w:t xml:space="preserve">the Ministry of </w:t>
      </w:r>
      <w:r w:rsidR="00B23BA3">
        <w:rPr>
          <w:rFonts w:ascii="Garamond" w:eastAsiaTheme="minorHAnsi" w:hAnsi="Garamond" w:cs="SFUHelvetica"/>
          <w:color w:val="414142"/>
          <w:sz w:val="24"/>
          <w:szCs w:val="24"/>
          <w:lang w:val="en-GB"/>
        </w:rPr>
        <w:t>Finance and Economic Cooperation (MoFEC)</w:t>
      </w:r>
      <w:r w:rsidR="00E21DAC" w:rsidRPr="00E95EE5">
        <w:rPr>
          <w:rFonts w:ascii="Garamond" w:eastAsiaTheme="minorHAnsi" w:hAnsi="Garamond" w:cs="SFUHelvetica"/>
          <w:color w:val="414142"/>
          <w:sz w:val="24"/>
          <w:szCs w:val="24"/>
          <w:lang w:val="en-GB"/>
        </w:rPr>
        <w:t xml:space="preserve">. </w:t>
      </w:r>
      <w:r w:rsidR="005D6FA8">
        <w:rPr>
          <w:rFonts w:ascii="Garamond" w:eastAsiaTheme="minorHAnsi" w:hAnsi="Garamond" w:cs="SFUHelvetica"/>
          <w:color w:val="414142"/>
          <w:sz w:val="24"/>
          <w:szCs w:val="24"/>
          <w:lang w:val="en-GB"/>
        </w:rPr>
        <w:t xml:space="preserve">The study benefited immensely from the technical guidance from MoFEC and UNDP as well as from the Technical Task Force established for the purpose. </w:t>
      </w:r>
      <w:r w:rsidR="00B23BA3">
        <w:rPr>
          <w:rFonts w:ascii="Garamond" w:eastAsiaTheme="minorHAnsi" w:hAnsi="Garamond" w:cs="SFUHelvetica"/>
          <w:color w:val="414142"/>
          <w:sz w:val="24"/>
          <w:szCs w:val="24"/>
          <w:lang w:val="en-GB"/>
        </w:rPr>
        <w:t>I w</w:t>
      </w:r>
      <w:r w:rsidR="00E21DAC" w:rsidRPr="00E95EE5">
        <w:rPr>
          <w:rFonts w:ascii="Garamond" w:eastAsiaTheme="minorHAnsi" w:hAnsi="Garamond" w:cs="SFUHelvetica"/>
          <w:color w:val="414142"/>
          <w:sz w:val="24"/>
          <w:szCs w:val="24"/>
          <w:lang w:val="en-GB"/>
        </w:rPr>
        <w:t xml:space="preserve">ould like to express great gratitude to </w:t>
      </w:r>
      <w:r w:rsidR="00646F48">
        <w:rPr>
          <w:rFonts w:ascii="Garamond" w:eastAsiaTheme="minorHAnsi" w:hAnsi="Garamond" w:cs="SFUHelvetica"/>
          <w:color w:val="414142"/>
          <w:sz w:val="24"/>
          <w:szCs w:val="24"/>
          <w:lang w:val="en-GB"/>
        </w:rPr>
        <w:t xml:space="preserve">Ms.Hinjat </w:t>
      </w:r>
      <w:r w:rsidR="00337FF1">
        <w:rPr>
          <w:rFonts w:ascii="Garamond" w:eastAsiaTheme="minorHAnsi" w:hAnsi="Garamond" w:cs="SFUHelvetica"/>
          <w:color w:val="414142"/>
          <w:sz w:val="24"/>
          <w:szCs w:val="24"/>
          <w:lang w:val="en-GB"/>
        </w:rPr>
        <w:t xml:space="preserve">Shamil </w:t>
      </w:r>
      <w:r w:rsidR="00646F48">
        <w:rPr>
          <w:rFonts w:ascii="Garamond" w:eastAsiaTheme="minorHAnsi" w:hAnsi="Garamond" w:cs="SFUHelvetica"/>
          <w:color w:val="414142"/>
          <w:sz w:val="24"/>
          <w:szCs w:val="24"/>
          <w:lang w:val="en-GB"/>
        </w:rPr>
        <w:t>for her excellent support throughout the study</w:t>
      </w:r>
      <w:r w:rsidR="00BA311D">
        <w:rPr>
          <w:rFonts w:ascii="Garamond" w:eastAsiaTheme="minorHAnsi" w:hAnsi="Garamond" w:cs="SFUHelvetica"/>
          <w:color w:val="414142"/>
          <w:sz w:val="24"/>
          <w:szCs w:val="24"/>
          <w:lang w:val="en-GB"/>
        </w:rPr>
        <w:t xml:space="preserve">. </w:t>
      </w:r>
      <w:r w:rsidR="00BC6506">
        <w:rPr>
          <w:rFonts w:ascii="Garamond" w:eastAsiaTheme="minorHAnsi" w:hAnsi="Garamond" w:cs="SFUHelvetica"/>
          <w:color w:val="414142"/>
          <w:sz w:val="24"/>
          <w:szCs w:val="24"/>
          <w:lang w:val="en-GB"/>
        </w:rPr>
        <w:t xml:space="preserve">Ms.Meron Tekola </w:t>
      </w:r>
      <w:r w:rsidR="00A2287F">
        <w:rPr>
          <w:rFonts w:ascii="Garamond" w:eastAsiaTheme="minorHAnsi" w:hAnsi="Garamond" w:cs="SFUHelvetica"/>
          <w:color w:val="414142"/>
          <w:sz w:val="24"/>
          <w:szCs w:val="24"/>
          <w:lang w:val="en-GB"/>
        </w:rPr>
        <w:t>from the DAG Secretariat also deserves appreciation for her facilitating role</w:t>
      </w:r>
      <w:r w:rsidR="00E21DAC" w:rsidRPr="00E95EE5">
        <w:rPr>
          <w:rFonts w:ascii="Garamond" w:eastAsiaTheme="minorHAnsi" w:hAnsi="Garamond" w:cs="SFUHelvetica"/>
          <w:color w:val="414142"/>
          <w:sz w:val="24"/>
          <w:szCs w:val="24"/>
          <w:lang w:val="en-GB"/>
        </w:rPr>
        <w:t>.</w:t>
      </w:r>
    </w:p>
    <w:p w:rsidR="00072BA5" w:rsidRDefault="00072BA5">
      <w:pPr>
        <w:spacing w:after="160" w:line="259" w:lineRule="auto"/>
        <w:rPr>
          <w:rFonts w:ascii="Garamond" w:eastAsiaTheme="minorHAnsi" w:hAnsi="Garamond" w:cs="SFUHelvetica"/>
          <w:color w:val="414142"/>
          <w:sz w:val="24"/>
          <w:szCs w:val="24"/>
          <w:lang w:val="en-GB"/>
        </w:rPr>
      </w:pPr>
      <w:r>
        <w:rPr>
          <w:rFonts w:ascii="Garamond" w:eastAsiaTheme="minorHAnsi" w:hAnsi="Garamond" w:cs="SFUHelvetica"/>
          <w:color w:val="414142"/>
          <w:sz w:val="24"/>
          <w:szCs w:val="24"/>
          <w:lang w:val="en-GB"/>
        </w:rPr>
        <w:br w:type="page"/>
      </w:r>
    </w:p>
    <w:p w:rsidR="00E80945" w:rsidRPr="00216DE6" w:rsidRDefault="00E80945" w:rsidP="00216DE6">
      <w:pPr>
        <w:pStyle w:val="Heading1"/>
        <w:rPr>
          <w:rFonts w:ascii="Garamond" w:hAnsi="Garamond"/>
          <w:b/>
          <w:sz w:val="24"/>
          <w:szCs w:val="24"/>
        </w:rPr>
      </w:pPr>
      <w:bookmarkStart w:id="6" w:name="_Toc486782245"/>
      <w:r w:rsidRPr="00216DE6">
        <w:rPr>
          <w:rFonts w:ascii="Garamond" w:hAnsi="Garamond"/>
          <w:b/>
          <w:sz w:val="24"/>
          <w:szCs w:val="24"/>
        </w:rPr>
        <w:lastRenderedPageBreak/>
        <w:t xml:space="preserve">Executive </w:t>
      </w:r>
      <w:r w:rsidRPr="00E21DAC">
        <w:rPr>
          <w:rFonts w:ascii="Garamond" w:hAnsi="Garamond"/>
          <w:b/>
          <w:sz w:val="24"/>
          <w:szCs w:val="24"/>
        </w:rPr>
        <w:t>summary</w:t>
      </w:r>
      <w:bookmarkEnd w:id="6"/>
    </w:p>
    <w:p w:rsidR="00E80945" w:rsidRPr="00F21B03" w:rsidRDefault="00E80945" w:rsidP="00E80945">
      <w:pPr>
        <w:spacing w:after="0" w:line="240" w:lineRule="auto"/>
        <w:jc w:val="center"/>
        <w:rPr>
          <w:rFonts w:ascii="Garamond" w:hAnsi="Garamond"/>
          <w:b/>
          <w:sz w:val="24"/>
          <w:szCs w:val="24"/>
        </w:rPr>
      </w:pPr>
    </w:p>
    <w:p w:rsidR="00C764A2" w:rsidRDefault="00C764A2" w:rsidP="00C764A2">
      <w:pPr>
        <w:spacing w:after="0" w:line="240" w:lineRule="auto"/>
        <w:jc w:val="both"/>
        <w:rPr>
          <w:rFonts w:ascii="Garamond" w:hAnsi="Garamond"/>
          <w:sz w:val="24"/>
          <w:szCs w:val="24"/>
        </w:rPr>
      </w:pPr>
      <w:r w:rsidRPr="00CA4B6F">
        <w:rPr>
          <w:rFonts w:ascii="Garamond" w:hAnsi="Garamond"/>
          <w:color w:val="000000"/>
          <w:sz w:val="24"/>
          <w:szCs w:val="24"/>
        </w:rPr>
        <w:t xml:space="preserve">The overriding development agenda of Ethiopia is to sustain the rapid and broad-based growth path witnessed during the past several years and eventually end poverty and achieve sustainable development goals (SDGs). </w:t>
      </w:r>
      <w:r w:rsidRPr="00F21B03">
        <w:rPr>
          <w:rFonts w:ascii="Garamond" w:hAnsi="Garamond"/>
          <w:sz w:val="24"/>
          <w:szCs w:val="24"/>
        </w:rPr>
        <w:t xml:space="preserve">It has set out a very ambitious goals to achieve economic, social and environmental transformation and achieve a lower middle income status by 2025. </w:t>
      </w:r>
    </w:p>
    <w:p w:rsidR="00C764A2" w:rsidRPr="00F21B03" w:rsidRDefault="00C764A2" w:rsidP="00C764A2">
      <w:pPr>
        <w:spacing w:after="0" w:line="240" w:lineRule="auto"/>
        <w:jc w:val="both"/>
        <w:rPr>
          <w:rFonts w:ascii="Garamond" w:hAnsi="Garamond"/>
          <w:sz w:val="24"/>
          <w:szCs w:val="24"/>
        </w:rPr>
      </w:pPr>
    </w:p>
    <w:p w:rsidR="00C764A2" w:rsidRDefault="00C764A2" w:rsidP="00C764A2">
      <w:pPr>
        <w:spacing w:after="0" w:line="240" w:lineRule="auto"/>
        <w:jc w:val="both"/>
        <w:rPr>
          <w:rFonts w:ascii="Garamond" w:hAnsi="Garamond"/>
          <w:sz w:val="24"/>
          <w:szCs w:val="24"/>
        </w:rPr>
      </w:pPr>
      <w:r w:rsidRPr="00F21B03">
        <w:rPr>
          <w:rFonts w:ascii="Garamond" w:hAnsi="Garamond"/>
          <w:sz w:val="24"/>
          <w:szCs w:val="24"/>
        </w:rPr>
        <w:t xml:space="preserve">The Government of Ethiopia has </w:t>
      </w:r>
      <w:r>
        <w:rPr>
          <w:rFonts w:ascii="Garamond" w:hAnsi="Garamond"/>
          <w:sz w:val="24"/>
          <w:szCs w:val="24"/>
        </w:rPr>
        <w:t xml:space="preserve">also expressed </w:t>
      </w:r>
      <w:r w:rsidRPr="00F21B03">
        <w:rPr>
          <w:rFonts w:ascii="Garamond" w:hAnsi="Garamond"/>
          <w:sz w:val="24"/>
          <w:szCs w:val="24"/>
        </w:rPr>
        <w:t xml:space="preserve">its commitment to ensure the effective implementations and achievement of regional and global agreements such as SDGs, </w:t>
      </w:r>
      <w:r w:rsidR="00431B86">
        <w:rPr>
          <w:rFonts w:ascii="Garamond" w:hAnsi="Garamond"/>
          <w:sz w:val="24"/>
          <w:szCs w:val="24"/>
        </w:rPr>
        <w:t xml:space="preserve">Agenda 2063, </w:t>
      </w:r>
      <w:r w:rsidRPr="00F21B03">
        <w:rPr>
          <w:rFonts w:ascii="Garamond" w:hAnsi="Garamond"/>
          <w:sz w:val="24"/>
          <w:szCs w:val="24"/>
        </w:rPr>
        <w:t xml:space="preserve">Paris Agreement and Addis Ababa Action Agenda (AAAA). </w:t>
      </w:r>
      <w:r w:rsidR="00431B86">
        <w:rPr>
          <w:rFonts w:ascii="Garamond" w:hAnsi="Garamond"/>
          <w:sz w:val="24"/>
          <w:szCs w:val="24"/>
        </w:rPr>
        <w:t>In particular, t</w:t>
      </w:r>
      <w:r w:rsidRPr="00F21B03">
        <w:rPr>
          <w:rFonts w:ascii="Garamond" w:hAnsi="Garamond"/>
          <w:sz w:val="24"/>
          <w:szCs w:val="24"/>
        </w:rPr>
        <w:t xml:space="preserve">he realization of </w:t>
      </w:r>
      <w:r>
        <w:rPr>
          <w:rFonts w:ascii="Garamond" w:hAnsi="Garamond"/>
          <w:sz w:val="24"/>
          <w:szCs w:val="24"/>
        </w:rPr>
        <w:t>SDGs</w:t>
      </w:r>
      <w:r w:rsidRPr="00F21B03">
        <w:rPr>
          <w:rFonts w:ascii="Garamond" w:hAnsi="Garamond"/>
          <w:sz w:val="24"/>
          <w:szCs w:val="24"/>
        </w:rPr>
        <w:t xml:space="preserve"> and targets crucially depends on the effective implementation of the Addis Ababa Action Agenda. The government of Ethiopia has adopted various aspects and principles of the AAAA in its national strategies to ensure the mobilization of the various means of implementation required for the achievement of </w:t>
      </w:r>
      <w:r>
        <w:rPr>
          <w:rFonts w:ascii="Garamond" w:hAnsi="Garamond"/>
          <w:sz w:val="24"/>
          <w:szCs w:val="24"/>
        </w:rPr>
        <w:t>national objectives and S</w:t>
      </w:r>
      <w:r w:rsidRPr="00F21B03">
        <w:rPr>
          <w:rFonts w:ascii="Garamond" w:hAnsi="Garamond"/>
          <w:sz w:val="24"/>
          <w:szCs w:val="24"/>
        </w:rPr>
        <w:t xml:space="preserve">DGs. </w:t>
      </w:r>
      <w:r>
        <w:rPr>
          <w:rFonts w:ascii="Garamond" w:hAnsi="Garamond"/>
          <w:sz w:val="24"/>
          <w:szCs w:val="24"/>
        </w:rPr>
        <w:t>In addition, meeting sustainable development objectives require increasing financing options through mobilizing additional domestic and foreign resources. Although t</w:t>
      </w:r>
      <w:r w:rsidRPr="006D6AE1">
        <w:rPr>
          <w:rFonts w:ascii="Garamond" w:hAnsi="Garamond"/>
          <w:sz w:val="24"/>
          <w:szCs w:val="24"/>
        </w:rPr>
        <w:t xml:space="preserve">he </w:t>
      </w:r>
      <w:r>
        <w:rPr>
          <w:rFonts w:ascii="Garamond" w:hAnsi="Garamond"/>
          <w:sz w:val="24"/>
          <w:szCs w:val="24"/>
        </w:rPr>
        <w:t xml:space="preserve">finance </w:t>
      </w:r>
      <w:r w:rsidRPr="006D6AE1">
        <w:rPr>
          <w:rFonts w:ascii="Garamond" w:hAnsi="Garamond"/>
          <w:sz w:val="24"/>
          <w:szCs w:val="24"/>
        </w:rPr>
        <w:t xml:space="preserve">landscape in Ethiopia </w:t>
      </w:r>
      <w:r>
        <w:rPr>
          <w:rFonts w:ascii="Garamond" w:hAnsi="Garamond"/>
          <w:sz w:val="24"/>
          <w:szCs w:val="24"/>
        </w:rPr>
        <w:t xml:space="preserve">has </w:t>
      </w:r>
      <w:r w:rsidRPr="006D6AE1">
        <w:rPr>
          <w:rFonts w:ascii="Garamond" w:hAnsi="Garamond"/>
          <w:sz w:val="24"/>
          <w:szCs w:val="24"/>
        </w:rPr>
        <w:t>broadened</w:t>
      </w:r>
      <w:r>
        <w:rPr>
          <w:rFonts w:ascii="Garamond" w:hAnsi="Garamond"/>
          <w:sz w:val="24"/>
          <w:szCs w:val="24"/>
        </w:rPr>
        <w:t xml:space="preserve"> </w:t>
      </w:r>
      <w:r w:rsidRPr="006D6AE1">
        <w:rPr>
          <w:rFonts w:ascii="Garamond" w:hAnsi="Garamond"/>
          <w:sz w:val="24"/>
          <w:szCs w:val="24"/>
        </w:rPr>
        <w:t>to include non-traditional d</w:t>
      </w:r>
      <w:r>
        <w:rPr>
          <w:rFonts w:ascii="Garamond" w:hAnsi="Garamond"/>
          <w:sz w:val="24"/>
          <w:szCs w:val="24"/>
        </w:rPr>
        <w:t xml:space="preserve">evelopment partners (e.g. </w:t>
      </w:r>
      <w:r w:rsidRPr="006D6AE1">
        <w:rPr>
          <w:rFonts w:ascii="Garamond" w:hAnsi="Garamond"/>
          <w:sz w:val="24"/>
          <w:szCs w:val="24"/>
        </w:rPr>
        <w:t>China, India, Kuwait, Saudi Arabia and Turkey</w:t>
      </w:r>
      <w:r>
        <w:rPr>
          <w:rFonts w:ascii="Garamond" w:hAnsi="Garamond"/>
          <w:sz w:val="24"/>
          <w:szCs w:val="24"/>
        </w:rPr>
        <w:t xml:space="preserve">), there is a need for </w:t>
      </w:r>
      <w:r w:rsidRPr="00272510">
        <w:rPr>
          <w:rFonts w:ascii="Garamond" w:hAnsi="Garamond"/>
          <w:sz w:val="24"/>
          <w:szCs w:val="24"/>
        </w:rPr>
        <w:t>better  allocation  of  existing  resources</w:t>
      </w:r>
      <w:r>
        <w:rPr>
          <w:rFonts w:ascii="Garamond" w:hAnsi="Garamond"/>
          <w:sz w:val="24"/>
          <w:szCs w:val="24"/>
        </w:rPr>
        <w:t>,</w:t>
      </w:r>
      <w:r w:rsidRPr="00272510">
        <w:rPr>
          <w:rFonts w:ascii="Garamond" w:hAnsi="Garamond"/>
          <w:sz w:val="24"/>
          <w:szCs w:val="24"/>
        </w:rPr>
        <w:t xml:space="preserve"> effective alignment  of  incentives, and additional funds from domestic</w:t>
      </w:r>
      <w:r>
        <w:rPr>
          <w:rFonts w:ascii="Garamond" w:hAnsi="Garamond"/>
          <w:sz w:val="24"/>
          <w:szCs w:val="24"/>
        </w:rPr>
        <w:t xml:space="preserve"> and ex</w:t>
      </w:r>
      <w:r w:rsidRPr="00272510">
        <w:rPr>
          <w:rFonts w:ascii="Garamond" w:hAnsi="Garamond"/>
          <w:sz w:val="24"/>
          <w:szCs w:val="24"/>
        </w:rPr>
        <w:t>ternal sources.</w:t>
      </w:r>
      <w:r>
        <w:rPr>
          <w:rFonts w:ascii="Garamond" w:hAnsi="Garamond"/>
          <w:sz w:val="24"/>
          <w:szCs w:val="24"/>
        </w:rPr>
        <w:t xml:space="preserve"> In addition, t</w:t>
      </w:r>
      <w:r w:rsidRPr="00695680">
        <w:rPr>
          <w:rFonts w:ascii="Garamond" w:hAnsi="Garamond"/>
          <w:sz w:val="24"/>
          <w:szCs w:val="24"/>
        </w:rPr>
        <w:t>apping into new partnerships and innovative sources of financing can also play a role in complementing public sources of financing for sustainable development.</w:t>
      </w:r>
    </w:p>
    <w:p w:rsidR="00C764A2" w:rsidRDefault="00C764A2" w:rsidP="00C764A2">
      <w:pPr>
        <w:autoSpaceDE w:val="0"/>
        <w:autoSpaceDN w:val="0"/>
        <w:adjustRightInd w:val="0"/>
        <w:spacing w:after="0" w:line="240" w:lineRule="auto"/>
        <w:jc w:val="both"/>
        <w:rPr>
          <w:rFonts w:ascii="Garamond" w:hAnsi="Garamond"/>
          <w:sz w:val="24"/>
          <w:szCs w:val="24"/>
        </w:rPr>
      </w:pPr>
    </w:p>
    <w:p w:rsidR="00C764A2" w:rsidRDefault="00C764A2" w:rsidP="00C764A2">
      <w:pPr>
        <w:autoSpaceDE w:val="0"/>
        <w:autoSpaceDN w:val="0"/>
        <w:adjustRightInd w:val="0"/>
        <w:spacing w:after="0" w:line="240" w:lineRule="auto"/>
        <w:jc w:val="both"/>
        <w:rPr>
          <w:rFonts w:ascii="Garamond" w:hAnsi="Garamond"/>
          <w:sz w:val="24"/>
          <w:szCs w:val="24"/>
        </w:rPr>
      </w:pPr>
      <w:r w:rsidRPr="003D4CE5">
        <w:rPr>
          <w:rFonts w:ascii="Garamond" w:hAnsi="Garamond"/>
          <w:sz w:val="24"/>
          <w:szCs w:val="24"/>
        </w:rPr>
        <w:t>The main objectives of th</w:t>
      </w:r>
      <w:r>
        <w:rPr>
          <w:rFonts w:ascii="Garamond" w:hAnsi="Garamond"/>
          <w:sz w:val="24"/>
          <w:szCs w:val="24"/>
        </w:rPr>
        <w:t xml:space="preserve">is </w:t>
      </w:r>
      <w:r w:rsidRPr="003D4CE5">
        <w:rPr>
          <w:rFonts w:ascii="Garamond" w:hAnsi="Garamond"/>
          <w:sz w:val="24"/>
          <w:szCs w:val="24"/>
        </w:rPr>
        <w:t xml:space="preserve">study were twofold: to </w:t>
      </w:r>
      <w:r>
        <w:rPr>
          <w:rFonts w:ascii="Garamond" w:hAnsi="Garamond"/>
          <w:sz w:val="24"/>
          <w:szCs w:val="24"/>
        </w:rPr>
        <w:t xml:space="preserve">identify priority areas for intervention by government and stakeholders from a resource mobilization perspective and develop a roadmap to guide the </w:t>
      </w:r>
      <w:r w:rsidRPr="002E137D">
        <w:rPr>
          <w:rFonts w:ascii="Garamond" w:hAnsi="Garamond" w:cs="Tahoma"/>
          <w:sz w:val="24"/>
          <w:szCs w:val="24"/>
        </w:rPr>
        <w:t>implement</w:t>
      </w:r>
      <w:r>
        <w:rPr>
          <w:rFonts w:ascii="Garamond" w:hAnsi="Garamond" w:cs="Tahoma"/>
          <w:sz w:val="24"/>
          <w:szCs w:val="24"/>
        </w:rPr>
        <w:t>ation</w:t>
      </w:r>
      <w:r w:rsidRPr="002E137D">
        <w:rPr>
          <w:rFonts w:ascii="Garamond" w:hAnsi="Garamond" w:cs="Tahoma"/>
          <w:sz w:val="24"/>
          <w:szCs w:val="24"/>
        </w:rPr>
        <w:t xml:space="preserve"> of the Addis </w:t>
      </w:r>
      <w:r>
        <w:rPr>
          <w:rFonts w:ascii="Garamond" w:hAnsi="Garamond" w:cs="Tahoma"/>
          <w:sz w:val="24"/>
          <w:szCs w:val="24"/>
        </w:rPr>
        <w:t xml:space="preserve">Ababa Action </w:t>
      </w:r>
      <w:r w:rsidRPr="002E137D">
        <w:rPr>
          <w:rFonts w:ascii="Garamond" w:hAnsi="Garamond" w:cs="Tahoma"/>
          <w:sz w:val="24"/>
          <w:szCs w:val="24"/>
        </w:rPr>
        <w:t>Agenda</w:t>
      </w:r>
      <w:r>
        <w:rPr>
          <w:rFonts w:ascii="Garamond" w:hAnsi="Garamond" w:cs="Tahoma"/>
          <w:sz w:val="24"/>
          <w:szCs w:val="24"/>
        </w:rPr>
        <w:t>.</w:t>
      </w:r>
      <w:r w:rsidRPr="003D4CE5">
        <w:rPr>
          <w:rFonts w:ascii="Garamond" w:hAnsi="Garamond"/>
          <w:sz w:val="24"/>
          <w:szCs w:val="24"/>
        </w:rPr>
        <w:t xml:space="preserve"> </w:t>
      </w:r>
      <w:r>
        <w:rPr>
          <w:rFonts w:ascii="Garamond" w:hAnsi="Garamond"/>
          <w:sz w:val="24"/>
          <w:szCs w:val="24"/>
        </w:rPr>
        <w:t>Using the Development Finance Assessment (DFA) framework as the main framework, t</w:t>
      </w:r>
      <w:r w:rsidRPr="003D4CE5">
        <w:rPr>
          <w:rFonts w:ascii="Garamond" w:hAnsi="Garamond"/>
          <w:sz w:val="24"/>
          <w:szCs w:val="24"/>
        </w:rPr>
        <w:t xml:space="preserve">he study </w:t>
      </w:r>
      <w:r>
        <w:rPr>
          <w:rFonts w:ascii="Garamond" w:hAnsi="Garamond"/>
          <w:sz w:val="24"/>
          <w:szCs w:val="24"/>
        </w:rPr>
        <w:t xml:space="preserve">provided a detailed </w:t>
      </w:r>
      <w:r w:rsidRPr="003D4CE5">
        <w:rPr>
          <w:rFonts w:ascii="Garamond" w:hAnsi="Garamond"/>
          <w:sz w:val="24"/>
          <w:szCs w:val="24"/>
        </w:rPr>
        <w:t xml:space="preserve">analysis of </w:t>
      </w:r>
      <w:r w:rsidR="00431B86">
        <w:rPr>
          <w:rFonts w:ascii="Garamond" w:hAnsi="Garamond"/>
          <w:sz w:val="24"/>
          <w:szCs w:val="24"/>
        </w:rPr>
        <w:t>sources of development finance for Ethiopia. The study uses b</w:t>
      </w:r>
      <w:r>
        <w:rPr>
          <w:rFonts w:ascii="Garamond" w:hAnsi="Garamond"/>
          <w:sz w:val="24"/>
          <w:szCs w:val="24"/>
        </w:rPr>
        <w:t>oth primary and secondary data.</w:t>
      </w:r>
      <w:r w:rsidRPr="003D4CE5">
        <w:rPr>
          <w:rFonts w:ascii="Garamond" w:hAnsi="Garamond"/>
          <w:sz w:val="24"/>
          <w:szCs w:val="24"/>
        </w:rPr>
        <w:t xml:space="preserve"> </w:t>
      </w:r>
      <w:r>
        <w:rPr>
          <w:rFonts w:ascii="Garamond" w:hAnsi="Garamond"/>
          <w:sz w:val="24"/>
          <w:szCs w:val="24"/>
        </w:rPr>
        <w:t>Primary information was generated through key informant interviews held with relevant government sector ministries, development partners, and Ethiopian Chamber of Commerce and Sectoral Associations</w:t>
      </w:r>
      <w:r w:rsidR="00431B86">
        <w:rPr>
          <w:rFonts w:ascii="Garamond" w:hAnsi="Garamond"/>
          <w:sz w:val="24"/>
          <w:szCs w:val="24"/>
        </w:rPr>
        <w:t>, while secondary information was collected from different sources including government financial statistics published by the Ministry of Finance and Economic Cooperation, development plans (e.g. GTP-II), and other sources such as review of development policies and strategies</w:t>
      </w:r>
      <w:r>
        <w:rPr>
          <w:rFonts w:ascii="Garamond" w:hAnsi="Garamond"/>
          <w:sz w:val="24"/>
          <w:szCs w:val="24"/>
        </w:rPr>
        <w:t xml:space="preserve">. </w:t>
      </w:r>
      <w:r w:rsidRPr="003D4CE5">
        <w:rPr>
          <w:rFonts w:ascii="Garamond" w:hAnsi="Garamond"/>
          <w:sz w:val="24"/>
          <w:szCs w:val="24"/>
        </w:rPr>
        <w:t xml:space="preserve"> </w:t>
      </w:r>
    </w:p>
    <w:p w:rsidR="00C764A2" w:rsidRDefault="00C764A2" w:rsidP="00C764A2">
      <w:pPr>
        <w:autoSpaceDE w:val="0"/>
        <w:autoSpaceDN w:val="0"/>
        <w:adjustRightInd w:val="0"/>
        <w:spacing w:after="0" w:line="240" w:lineRule="auto"/>
        <w:jc w:val="both"/>
        <w:rPr>
          <w:rFonts w:ascii="Garamond" w:hAnsi="Garamond" w:cs="TimesNewRomanPSMT"/>
          <w:sz w:val="24"/>
          <w:szCs w:val="24"/>
        </w:rPr>
      </w:pPr>
    </w:p>
    <w:p w:rsidR="00C764A2" w:rsidRDefault="00C764A2" w:rsidP="00C764A2">
      <w:pPr>
        <w:autoSpaceDE w:val="0"/>
        <w:autoSpaceDN w:val="0"/>
        <w:adjustRightInd w:val="0"/>
        <w:spacing w:after="0" w:line="240" w:lineRule="auto"/>
        <w:jc w:val="both"/>
        <w:rPr>
          <w:rFonts w:ascii="Garamond" w:hAnsi="Garamond"/>
          <w:bCs/>
          <w:color w:val="000000"/>
          <w:sz w:val="24"/>
          <w:szCs w:val="24"/>
          <w:lang w:val="en-GB"/>
        </w:rPr>
      </w:pPr>
      <w:r w:rsidRPr="00200616">
        <w:rPr>
          <w:rFonts w:ascii="Garamond" w:hAnsi="Garamond" w:cs="TimesNewRomanPSMT"/>
          <w:sz w:val="24"/>
          <w:szCs w:val="24"/>
        </w:rPr>
        <w:t xml:space="preserve">The Ethiopian government has made </w:t>
      </w:r>
      <w:r>
        <w:rPr>
          <w:rFonts w:ascii="Garamond" w:hAnsi="Garamond" w:cs="TimesNewRomanPSMT"/>
          <w:sz w:val="24"/>
          <w:szCs w:val="24"/>
        </w:rPr>
        <w:t xml:space="preserve">substantive </w:t>
      </w:r>
      <w:r w:rsidRPr="00200616">
        <w:rPr>
          <w:rFonts w:ascii="Garamond" w:hAnsi="Garamond" w:cs="TimesNewRomanPSMT"/>
          <w:sz w:val="24"/>
          <w:szCs w:val="24"/>
        </w:rPr>
        <w:t xml:space="preserve">strides in articulating sustainable development as reflected in its development policies, strategies and plans which incorporate </w:t>
      </w:r>
      <w:r>
        <w:rPr>
          <w:rFonts w:ascii="Garamond" w:hAnsi="Garamond" w:cs="TimesNewRomanPSMT"/>
          <w:sz w:val="24"/>
          <w:szCs w:val="24"/>
        </w:rPr>
        <w:t xml:space="preserve">sustainable development (SD) </w:t>
      </w:r>
      <w:r w:rsidRPr="00200616">
        <w:rPr>
          <w:rFonts w:ascii="Garamond" w:hAnsi="Garamond" w:cs="TimesNewRomanPSMT"/>
          <w:sz w:val="24"/>
          <w:szCs w:val="24"/>
        </w:rPr>
        <w:t>principles and objectives.</w:t>
      </w:r>
      <w:r>
        <w:rPr>
          <w:rFonts w:ascii="Garamond" w:hAnsi="Garamond" w:cs="TimesNewRomanPSMT"/>
          <w:sz w:val="24"/>
          <w:szCs w:val="24"/>
        </w:rPr>
        <w:t xml:space="preserve"> </w:t>
      </w:r>
      <w:r>
        <w:rPr>
          <w:rFonts w:ascii="Garamond" w:hAnsi="Garamond"/>
          <w:sz w:val="24"/>
          <w:szCs w:val="24"/>
        </w:rPr>
        <w:t xml:space="preserve">The supreme law of the land, which was adopted in 1995, incorporated sustainability and has become the guiding framework for subsequent mainstreaming of SD into national and sectoral plans. Between 2005 and 2014, three medium-term development plans had been adopted and implemented which helped improve both economic and social indicators. </w:t>
      </w:r>
      <w:r w:rsidR="008323EC">
        <w:rPr>
          <w:rFonts w:ascii="Garamond" w:hAnsi="Garamond"/>
          <w:sz w:val="24"/>
          <w:szCs w:val="24"/>
        </w:rPr>
        <w:t>The latest development plan is the second generation of growth and transformation plan (GTP-II)</w:t>
      </w:r>
      <w:r w:rsidR="008323EC" w:rsidRPr="008323EC">
        <w:rPr>
          <w:rFonts w:ascii="Garamond" w:hAnsi="Garamond" w:cs="TimesNewRomanPSMT"/>
          <w:sz w:val="24"/>
          <w:szCs w:val="24"/>
        </w:rPr>
        <w:t xml:space="preserve"> </w:t>
      </w:r>
      <w:r w:rsidR="008323EC">
        <w:rPr>
          <w:rFonts w:ascii="Garamond" w:hAnsi="Garamond" w:cs="TimesNewRomanPSMT"/>
          <w:sz w:val="24"/>
          <w:szCs w:val="24"/>
        </w:rPr>
        <w:t xml:space="preserve">(2015/16-2019/20) which </w:t>
      </w:r>
      <w:r w:rsidR="008323EC" w:rsidRPr="003A5AB3">
        <w:rPr>
          <w:rFonts w:ascii="Garamond" w:hAnsi="Garamond"/>
          <w:sz w:val="24"/>
          <w:szCs w:val="24"/>
        </w:rPr>
        <w:t xml:space="preserve">coincides with </w:t>
      </w:r>
      <w:r w:rsidR="008323EC">
        <w:rPr>
          <w:rFonts w:ascii="Garamond" w:hAnsi="Garamond"/>
          <w:sz w:val="24"/>
          <w:szCs w:val="24"/>
        </w:rPr>
        <w:t xml:space="preserve">the beginning </w:t>
      </w:r>
      <w:r w:rsidR="008323EC" w:rsidRPr="003A5AB3">
        <w:rPr>
          <w:rFonts w:ascii="Garamond" w:hAnsi="Garamond"/>
          <w:sz w:val="24"/>
          <w:szCs w:val="24"/>
        </w:rPr>
        <w:t>of SDGs</w:t>
      </w:r>
      <w:r w:rsidR="008323EC">
        <w:rPr>
          <w:rFonts w:ascii="Garamond" w:hAnsi="Garamond"/>
          <w:sz w:val="24"/>
          <w:szCs w:val="24"/>
        </w:rPr>
        <w:t xml:space="preserve">. </w:t>
      </w:r>
      <w:r>
        <w:rPr>
          <w:rFonts w:ascii="Garamond" w:hAnsi="Garamond" w:cs="TimesNewRomanPSMT"/>
          <w:sz w:val="24"/>
          <w:szCs w:val="24"/>
        </w:rPr>
        <w:t>Ethiopia h</w:t>
      </w:r>
      <w:r w:rsidR="00431B86">
        <w:rPr>
          <w:rFonts w:ascii="Garamond" w:hAnsi="Garamond" w:cs="TimesNewRomanPSMT"/>
          <w:sz w:val="24"/>
          <w:szCs w:val="24"/>
        </w:rPr>
        <w:t xml:space="preserve">as well-articulated many of targets and indicators of </w:t>
      </w:r>
      <w:r>
        <w:rPr>
          <w:rFonts w:ascii="Garamond" w:hAnsi="Garamond" w:cs="TimesNewRomanPSMT"/>
          <w:sz w:val="24"/>
          <w:szCs w:val="24"/>
        </w:rPr>
        <w:t>SDGs in its latest growth and transformation plan</w:t>
      </w:r>
      <w:r w:rsidR="008323EC">
        <w:rPr>
          <w:rFonts w:ascii="Garamond" w:hAnsi="Garamond" w:cs="TimesNewRomanPSMT"/>
          <w:sz w:val="24"/>
          <w:szCs w:val="24"/>
        </w:rPr>
        <w:t xml:space="preserve"> and has </w:t>
      </w:r>
      <w:r>
        <w:rPr>
          <w:rFonts w:ascii="Garamond" w:hAnsi="Garamond"/>
          <w:sz w:val="24"/>
          <w:szCs w:val="24"/>
        </w:rPr>
        <w:t xml:space="preserve">also designed a detailed implementation strategies to address the objectives set out in the GTP-II. As part of the plan, GTP-II includes results framework </w:t>
      </w:r>
      <w:r>
        <w:rPr>
          <w:rFonts w:ascii="Garamond" w:hAnsi="Garamond"/>
          <w:bCs/>
          <w:color w:val="000000"/>
          <w:sz w:val="24"/>
          <w:szCs w:val="24"/>
          <w:lang w:val="en-GB"/>
        </w:rPr>
        <w:t xml:space="preserve">covering the main goals, outputs, targets, and indicators, as well </w:t>
      </w:r>
      <w:r w:rsidR="008323EC">
        <w:rPr>
          <w:rFonts w:ascii="Garamond" w:hAnsi="Garamond"/>
          <w:bCs/>
          <w:color w:val="000000"/>
          <w:sz w:val="24"/>
          <w:szCs w:val="24"/>
          <w:lang w:val="en-GB"/>
        </w:rPr>
        <w:t xml:space="preserve">as </w:t>
      </w:r>
      <w:r>
        <w:rPr>
          <w:rFonts w:ascii="Garamond" w:hAnsi="Garamond"/>
          <w:sz w:val="24"/>
          <w:szCs w:val="24"/>
        </w:rPr>
        <w:t>responsible institutions to monitor and track sectoral progresses.</w:t>
      </w:r>
      <w:r w:rsidRPr="00AA4D1A">
        <w:rPr>
          <w:rFonts w:ascii="Garamond" w:hAnsi="Garamond"/>
          <w:bCs/>
          <w:color w:val="000000"/>
          <w:sz w:val="24"/>
          <w:szCs w:val="24"/>
          <w:lang w:val="en-GB"/>
        </w:rPr>
        <w:t xml:space="preserve"> </w:t>
      </w:r>
      <w:r>
        <w:rPr>
          <w:rFonts w:ascii="Garamond" w:hAnsi="Garamond"/>
          <w:bCs/>
          <w:color w:val="000000"/>
          <w:sz w:val="24"/>
          <w:szCs w:val="24"/>
          <w:lang w:val="en-GB"/>
        </w:rPr>
        <w:t xml:space="preserve">However, some of the </w:t>
      </w:r>
      <w:r w:rsidRPr="009719B6">
        <w:rPr>
          <w:rFonts w:ascii="Garamond" w:hAnsi="Garamond"/>
          <w:bCs/>
          <w:color w:val="000000"/>
          <w:sz w:val="24"/>
          <w:szCs w:val="24"/>
          <w:lang w:val="en-GB"/>
        </w:rPr>
        <w:t xml:space="preserve">indicators in the </w:t>
      </w:r>
      <w:r>
        <w:rPr>
          <w:rFonts w:ascii="Garamond" w:hAnsi="Garamond"/>
          <w:bCs/>
          <w:color w:val="000000"/>
          <w:sz w:val="24"/>
          <w:szCs w:val="24"/>
          <w:lang w:val="en-GB"/>
        </w:rPr>
        <w:t xml:space="preserve">GTP-II </w:t>
      </w:r>
      <w:r w:rsidRPr="009719B6">
        <w:rPr>
          <w:rFonts w:ascii="Garamond" w:hAnsi="Garamond"/>
          <w:bCs/>
          <w:color w:val="000000"/>
          <w:sz w:val="24"/>
          <w:szCs w:val="24"/>
          <w:lang w:val="en-GB"/>
        </w:rPr>
        <w:t xml:space="preserve">Policy Matrix could not be populated with </w:t>
      </w:r>
      <w:r>
        <w:rPr>
          <w:rFonts w:ascii="Garamond" w:hAnsi="Garamond"/>
          <w:bCs/>
          <w:color w:val="000000"/>
          <w:sz w:val="24"/>
          <w:szCs w:val="24"/>
          <w:lang w:val="en-GB"/>
        </w:rPr>
        <w:t xml:space="preserve">baseline </w:t>
      </w:r>
      <w:r w:rsidRPr="009719B6">
        <w:rPr>
          <w:rFonts w:ascii="Garamond" w:hAnsi="Garamond"/>
          <w:bCs/>
          <w:color w:val="000000"/>
          <w:sz w:val="24"/>
          <w:szCs w:val="24"/>
          <w:lang w:val="en-GB"/>
        </w:rPr>
        <w:t>data</w:t>
      </w:r>
      <w:r>
        <w:rPr>
          <w:rFonts w:ascii="Garamond" w:hAnsi="Garamond"/>
          <w:bCs/>
          <w:color w:val="000000"/>
          <w:sz w:val="24"/>
          <w:szCs w:val="24"/>
          <w:lang w:val="en-GB"/>
        </w:rPr>
        <w:t xml:space="preserve">, indicating </w:t>
      </w:r>
      <w:r w:rsidRPr="009719B6">
        <w:rPr>
          <w:rFonts w:ascii="Garamond" w:hAnsi="Garamond"/>
          <w:bCs/>
          <w:color w:val="000000"/>
          <w:sz w:val="24"/>
          <w:szCs w:val="24"/>
          <w:lang w:val="en-GB"/>
        </w:rPr>
        <w:t xml:space="preserve">a </w:t>
      </w:r>
      <w:r w:rsidRPr="009719B6">
        <w:rPr>
          <w:rFonts w:ascii="Garamond" w:hAnsi="Garamond"/>
          <w:bCs/>
          <w:color w:val="000000"/>
          <w:sz w:val="24"/>
          <w:szCs w:val="24"/>
          <w:lang w:val="en-GB"/>
        </w:rPr>
        <w:lastRenderedPageBreak/>
        <w:t xml:space="preserve">paucity of </w:t>
      </w:r>
      <w:r>
        <w:rPr>
          <w:rFonts w:ascii="Garamond" w:hAnsi="Garamond"/>
          <w:bCs/>
          <w:color w:val="000000"/>
          <w:sz w:val="24"/>
          <w:szCs w:val="24"/>
          <w:lang w:val="en-GB"/>
        </w:rPr>
        <w:t xml:space="preserve">baseline information </w:t>
      </w:r>
      <w:r w:rsidRPr="009719B6">
        <w:rPr>
          <w:rFonts w:ascii="Garamond" w:hAnsi="Garamond"/>
          <w:bCs/>
          <w:color w:val="000000"/>
          <w:sz w:val="24"/>
          <w:szCs w:val="24"/>
          <w:lang w:val="en-GB"/>
        </w:rPr>
        <w:t>to support results-oriented performance measurement</w:t>
      </w:r>
      <w:r>
        <w:rPr>
          <w:rFonts w:ascii="Garamond" w:hAnsi="Garamond"/>
          <w:bCs/>
          <w:color w:val="000000"/>
          <w:sz w:val="24"/>
          <w:szCs w:val="24"/>
          <w:lang w:val="en-GB"/>
        </w:rPr>
        <w:t xml:space="preserve"> and report </w:t>
      </w:r>
      <w:r w:rsidRPr="009719B6">
        <w:rPr>
          <w:rFonts w:ascii="Garamond" w:hAnsi="Garamond"/>
          <w:bCs/>
          <w:color w:val="000000"/>
          <w:sz w:val="24"/>
          <w:szCs w:val="24"/>
          <w:lang w:val="en-GB"/>
        </w:rPr>
        <w:t>across sectors</w:t>
      </w:r>
      <w:r>
        <w:rPr>
          <w:rFonts w:ascii="Garamond" w:hAnsi="Garamond"/>
          <w:bCs/>
          <w:color w:val="000000"/>
          <w:sz w:val="24"/>
          <w:szCs w:val="24"/>
          <w:lang w:val="en-GB"/>
        </w:rPr>
        <w:t xml:space="preserve">. In addition, the Policy matrix needs to include additional targets and indicators related to the Addis Ababa Action Agenda. </w:t>
      </w:r>
      <w:r w:rsidR="009424A7">
        <w:rPr>
          <w:rFonts w:ascii="Garamond" w:hAnsi="Garamond"/>
          <w:bCs/>
          <w:color w:val="000000"/>
          <w:sz w:val="24"/>
          <w:szCs w:val="24"/>
          <w:lang w:val="en-GB"/>
        </w:rPr>
        <w:t xml:space="preserve">The plan </w:t>
      </w:r>
      <w:r w:rsidR="00290D50">
        <w:rPr>
          <w:rFonts w:ascii="Garamond" w:hAnsi="Garamond"/>
          <w:bCs/>
          <w:color w:val="000000"/>
          <w:sz w:val="24"/>
          <w:szCs w:val="24"/>
          <w:lang w:val="en-GB"/>
        </w:rPr>
        <w:t xml:space="preserve">lacks detailed indicators to monitor resource mobilization from different sources and </w:t>
      </w:r>
      <w:r>
        <w:rPr>
          <w:rFonts w:ascii="Garamond" w:hAnsi="Garamond"/>
          <w:bCs/>
          <w:color w:val="000000"/>
          <w:sz w:val="24"/>
          <w:szCs w:val="24"/>
          <w:lang w:val="en-GB"/>
        </w:rPr>
        <w:t xml:space="preserve">needs to be supported by a detailed finance mobilization strategy. </w:t>
      </w:r>
    </w:p>
    <w:p w:rsidR="00C764A2" w:rsidRDefault="00C764A2" w:rsidP="00C764A2">
      <w:pPr>
        <w:spacing w:after="0" w:line="240" w:lineRule="auto"/>
        <w:jc w:val="both"/>
        <w:rPr>
          <w:rFonts w:ascii="Garamond" w:hAnsi="Garamond"/>
          <w:bCs/>
          <w:color w:val="000000"/>
          <w:sz w:val="24"/>
          <w:szCs w:val="24"/>
          <w:lang w:val="en-GB"/>
        </w:rPr>
      </w:pPr>
    </w:p>
    <w:p w:rsidR="00CB508B" w:rsidRDefault="00C764A2" w:rsidP="00CB508B">
      <w:pPr>
        <w:spacing w:after="0" w:line="240" w:lineRule="auto"/>
        <w:jc w:val="both"/>
        <w:rPr>
          <w:rFonts w:ascii="Garamond" w:hAnsi="Garamond"/>
          <w:sz w:val="24"/>
          <w:szCs w:val="24"/>
        </w:rPr>
      </w:pPr>
      <w:r>
        <w:rPr>
          <w:rFonts w:ascii="Garamond" w:hAnsi="Garamond"/>
          <w:sz w:val="24"/>
          <w:szCs w:val="24"/>
        </w:rPr>
        <w:t xml:space="preserve">The </w:t>
      </w:r>
      <w:r w:rsidR="00420624">
        <w:rPr>
          <w:rFonts w:ascii="Garamond" w:hAnsi="Garamond"/>
          <w:sz w:val="24"/>
          <w:szCs w:val="24"/>
        </w:rPr>
        <w:t xml:space="preserve">scale of </w:t>
      </w:r>
      <w:r>
        <w:rPr>
          <w:rFonts w:ascii="Garamond" w:hAnsi="Garamond"/>
          <w:sz w:val="24"/>
          <w:szCs w:val="24"/>
        </w:rPr>
        <w:t>resource</w:t>
      </w:r>
      <w:r w:rsidR="009424A7">
        <w:rPr>
          <w:rFonts w:ascii="Garamond" w:hAnsi="Garamond"/>
          <w:sz w:val="24"/>
          <w:szCs w:val="24"/>
        </w:rPr>
        <w:t xml:space="preserve"> requirement</w:t>
      </w:r>
      <w:r w:rsidR="00420624">
        <w:rPr>
          <w:rFonts w:ascii="Garamond" w:hAnsi="Garamond"/>
          <w:sz w:val="24"/>
          <w:szCs w:val="24"/>
        </w:rPr>
        <w:t>s</w:t>
      </w:r>
      <w:r w:rsidR="009424A7">
        <w:rPr>
          <w:rFonts w:ascii="Garamond" w:hAnsi="Garamond"/>
          <w:sz w:val="24"/>
          <w:szCs w:val="24"/>
        </w:rPr>
        <w:t xml:space="preserve"> </w:t>
      </w:r>
      <w:r w:rsidR="00420624">
        <w:rPr>
          <w:rFonts w:ascii="Garamond" w:hAnsi="Garamond"/>
          <w:sz w:val="24"/>
          <w:szCs w:val="24"/>
        </w:rPr>
        <w:t xml:space="preserve">is huge </w:t>
      </w:r>
      <w:r w:rsidR="009424A7">
        <w:rPr>
          <w:rFonts w:ascii="Garamond" w:hAnsi="Garamond"/>
          <w:sz w:val="24"/>
          <w:szCs w:val="24"/>
        </w:rPr>
        <w:t>t</w:t>
      </w:r>
      <w:r w:rsidRPr="0084272B">
        <w:rPr>
          <w:rFonts w:ascii="Garamond" w:hAnsi="Garamond"/>
          <w:sz w:val="24"/>
          <w:szCs w:val="24"/>
        </w:rPr>
        <w:t>o achieve the objectives and targets set in the economic, social and infrastructural development, environmental conservation, good governance and democratic system</w:t>
      </w:r>
      <w:r>
        <w:rPr>
          <w:rFonts w:ascii="Garamond" w:hAnsi="Garamond"/>
          <w:sz w:val="24"/>
          <w:szCs w:val="24"/>
        </w:rPr>
        <w:t xml:space="preserve"> as articulated in the GTP-II</w:t>
      </w:r>
      <w:r w:rsidRPr="0084272B">
        <w:rPr>
          <w:rFonts w:ascii="Garamond" w:hAnsi="Garamond"/>
          <w:sz w:val="24"/>
          <w:szCs w:val="24"/>
        </w:rPr>
        <w:t>.</w:t>
      </w:r>
      <w:r w:rsidRPr="00AC238E">
        <w:t xml:space="preserve"> </w:t>
      </w:r>
      <w:r w:rsidRPr="00AC238E">
        <w:rPr>
          <w:rFonts w:ascii="Garamond" w:hAnsi="Garamond"/>
          <w:sz w:val="24"/>
          <w:szCs w:val="24"/>
        </w:rPr>
        <w:t xml:space="preserve">According to the budgetary financial plan, </w:t>
      </w:r>
      <w:r>
        <w:rPr>
          <w:rFonts w:ascii="Garamond" w:hAnsi="Garamond"/>
          <w:sz w:val="24"/>
          <w:szCs w:val="24"/>
        </w:rPr>
        <w:t xml:space="preserve">it is envisaged that domestic revenue and external grants would cover </w:t>
      </w:r>
      <w:r w:rsidRPr="00AC238E">
        <w:rPr>
          <w:rFonts w:ascii="Garamond" w:hAnsi="Garamond"/>
          <w:sz w:val="24"/>
          <w:szCs w:val="24"/>
        </w:rPr>
        <w:t>about 86 percent of government expenditure</w:t>
      </w:r>
      <w:r>
        <w:rPr>
          <w:rFonts w:ascii="Garamond" w:hAnsi="Garamond"/>
          <w:sz w:val="24"/>
          <w:szCs w:val="24"/>
        </w:rPr>
        <w:t xml:space="preserve">, with </w:t>
      </w:r>
      <w:r w:rsidRPr="00AC238E">
        <w:rPr>
          <w:rFonts w:ascii="Garamond" w:hAnsi="Garamond"/>
          <w:sz w:val="24"/>
          <w:szCs w:val="24"/>
        </w:rPr>
        <w:t xml:space="preserve">average overall deficit of 14 percent. Of this, </w:t>
      </w:r>
      <w:r>
        <w:rPr>
          <w:rFonts w:ascii="Garamond" w:hAnsi="Garamond"/>
          <w:sz w:val="24"/>
          <w:szCs w:val="24"/>
        </w:rPr>
        <w:t xml:space="preserve">external loans would cover close to </w:t>
      </w:r>
      <w:r w:rsidRPr="00AC238E">
        <w:rPr>
          <w:rFonts w:ascii="Garamond" w:hAnsi="Garamond"/>
          <w:sz w:val="24"/>
          <w:szCs w:val="24"/>
        </w:rPr>
        <w:t xml:space="preserve">38.8 percent, </w:t>
      </w:r>
      <w:r>
        <w:rPr>
          <w:rFonts w:ascii="Garamond" w:hAnsi="Garamond"/>
          <w:sz w:val="24"/>
          <w:szCs w:val="24"/>
        </w:rPr>
        <w:t>while t</w:t>
      </w:r>
      <w:r w:rsidRPr="00AC238E">
        <w:rPr>
          <w:rFonts w:ascii="Garamond" w:hAnsi="Garamond"/>
          <w:sz w:val="24"/>
          <w:szCs w:val="24"/>
        </w:rPr>
        <w:t xml:space="preserve">he remaining </w:t>
      </w:r>
      <w:r>
        <w:rPr>
          <w:rFonts w:ascii="Garamond" w:hAnsi="Garamond"/>
          <w:sz w:val="24"/>
          <w:szCs w:val="24"/>
        </w:rPr>
        <w:t xml:space="preserve">would </w:t>
      </w:r>
      <w:r w:rsidRPr="00AC238E">
        <w:rPr>
          <w:rFonts w:ascii="Garamond" w:hAnsi="Garamond"/>
          <w:sz w:val="24"/>
          <w:szCs w:val="24"/>
        </w:rPr>
        <w:t xml:space="preserve">be generated from domestic borrowing. </w:t>
      </w:r>
      <w:r w:rsidR="000306A9">
        <w:rPr>
          <w:rFonts w:ascii="Garamond" w:hAnsi="Garamond"/>
          <w:sz w:val="24"/>
          <w:szCs w:val="24"/>
        </w:rPr>
        <w:t>The government allocates a</w:t>
      </w:r>
      <w:r w:rsidR="00693270">
        <w:rPr>
          <w:rFonts w:ascii="Garamond" w:hAnsi="Garamond"/>
          <w:sz w:val="24"/>
          <w:szCs w:val="24"/>
        </w:rPr>
        <w:t xml:space="preserve"> large share of </w:t>
      </w:r>
      <w:r w:rsidR="000306A9">
        <w:rPr>
          <w:rFonts w:ascii="Garamond" w:hAnsi="Garamond"/>
          <w:sz w:val="24"/>
          <w:szCs w:val="24"/>
        </w:rPr>
        <w:t xml:space="preserve">its budget </w:t>
      </w:r>
      <w:r w:rsidR="00693270">
        <w:rPr>
          <w:rFonts w:ascii="Garamond" w:hAnsi="Garamond"/>
          <w:sz w:val="24"/>
          <w:szCs w:val="24"/>
        </w:rPr>
        <w:t>to capital outlays</w:t>
      </w:r>
      <w:r w:rsidR="00934D89">
        <w:rPr>
          <w:rFonts w:ascii="Garamond" w:hAnsi="Garamond"/>
          <w:sz w:val="24"/>
          <w:szCs w:val="24"/>
        </w:rPr>
        <w:t xml:space="preserve"> which</w:t>
      </w:r>
      <w:r w:rsidR="00CB508B" w:rsidRPr="00934D89">
        <w:rPr>
          <w:rFonts w:ascii="Garamond" w:hAnsi="Garamond"/>
          <w:sz w:val="24"/>
          <w:szCs w:val="24"/>
        </w:rPr>
        <w:t xml:space="preserve"> enable the </w:t>
      </w:r>
      <w:r w:rsidR="00934D89" w:rsidRPr="00934D89">
        <w:rPr>
          <w:rFonts w:ascii="Garamond" w:hAnsi="Garamond"/>
          <w:sz w:val="24"/>
          <w:szCs w:val="24"/>
        </w:rPr>
        <w:t xml:space="preserve">government to provide </w:t>
      </w:r>
      <w:r w:rsidR="00CB508B" w:rsidRPr="00934D89">
        <w:rPr>
          <w:rFonts w:ascii="Garamond" w:hAnsi="Garamond"/>
          <w:sz w:val="24"/>
          <w:szCs w:val="24"/>
        </w:rPr>
        <w:t>basic services and infrastructure to the majority of the population.</w:t>
      </w:r>
    </w:p>
    <w:p w:rsidR="00C764A2" w:rsidRDefault="00C764A2" w:rsidP="00C764A2">
      <w:pPr>
        <w:spacing w:after="0" w:line="240" w:lineRule="auto"/>
        <w:jc w:val="both"/>
        <w:rPr>
          <w:rFonts w:ascii="Garamond" w:hAnsi="Garamond"/>
          <w:sz w:val="24"/>
          <w:szCs w:val="24"/>
        </w:rPr>
      </w:pPr>
    </w:p>
    <w:p w:rsidR="00C764A2" w:rsidRDefault="00C764A2" w:rsidP="00C764A2">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Despite robust economic growth, the share of tax revenue in GDP has not shown significant improvement as tax revenue has remained low compared to the tax revenue generating capacity of the economy, the financing requirements of the development programs and the average performances of the sub-Saharan countries, indicating existence of some kind of inefficiency in tax administration and structural problems in the tax system. Tax compliance cost is high in Ethiopia (between </w:t>
      </w:r>
      <w:r w:rsidRPr="00040B3F">
        <w:rPr>
          <w:rFonts w:ascii="Garamond" w:hAnsi="Garamond" w:cs="Arial"/>
          <w:color w:val="000000"/>
          <w:sz w:val="24"/>
          <w:szCs w:val="24"/>
        </w:rPr>
        <w:t>4.5 and 5.8 percent of total government revenue in 2012/13</w:t>
      </w:r>
      <w:r>
        <w:rPr>
          <w:rFonts w:ascii="Garamond" w:hAnsi="Garamond" w:cs="Arial"/>
          <w:color w:val="000000"/>
          <w:sz w:val="24"/>
          <w:szCs w:val="24"/>
        </w:rPr>
        <w:t>)</w:t>
      </w:r>
      <w:r>
        <w:rPr>
          <w:rFonts w:ascii="Garamond" w:hAnsi="Garamond"/>
          <w:sz w:val="24"/>
          <w:szCs w:val="24"/>
        </w:rPr>
        <w:t xml:space="preserve">, and it is higher for small businesses compared with large business as measured by the share of tax compliance cost in turnover. </w:t>
      </w:r>
      <w:r w:rsidRPr="00C24539">
        <w:rPr>
          <w:rFonts w:ascii="Garamond" w:hAnsi="Garamond"/>
          <w:sz w:val="24"/>
          <w:szCs w:val="24"/>
        </w:rPr>
        <w:t>There is also</w:t>
      </w:r>
      <w:r>
        <w:rPr>
          <w:rFonts w:ascii="Garamond" w:hAnsi="Garamond"/>
          <w:sz w:val="24"/>
          <w:szCs w:val="24"/>
        </w:rPr>
        <w:t xml:space="preserve"> </w:t>
      </w:r>
      <w:r w:rsidRPr="00C24539">
        <w:rPr>
          <w:rFonts w:ascii="Garamond" w:hAnsi="Garamond"/>
          <w:sz w:val="24"/>
          <w:szCs w:val="24"/>
        </w:rPr>
        <w:t>a wide gap between tax capacity and actual tax revenues raised due to tax-administration challenges.</w:t>
      </w:r>
      <w:r>
        <w:rPr>
          <w:rFonts w:ascii="Garamond" w:hAnsi="Garamond"/>
          <w:sz w:val="24"/>
          <w:szCs w:val="24"/>
        </w:rPr>
        <w:t xml:space="preserve"> These suggest that there is a need for improving tax revenues by, among others, broadening the tax base (e.g. through identifying news tax bases), enhancing efficiency of tax administration (e.g. modernization) and awareness creation.</w:t>
      </w:r>
      <w:r w:rsidRPr="00BC1C7F">
        <w:rPr>
          <w:rFonts w:ascii="Garamond" w:hAnsi="Garamond"/>
          <w:sz w:val="24"/>
          <w:szCs w:val="24"/>
        </w:rPr>
        <w:t xml:space="preserve"> </w:t>
      </w:r>
      <w:r w:rsidRPr="00A44028">
        <w:rPr>
          <w:rFonts w:ascii="Garamond" w:hAnsi="Garamond"/>
          <w:sz w:val="24"/>
          <w:szCs w:val="24"/>
        </w:rPr>
        <w:t xml:space="preserve">The </w:t>
      </w:r>
      <w:r>
        <w:rPr>
          <w:rFonts w:ascii="Garamond" w:hAnsi="Garamond"/>
          <w:sz w:val="24"/>
          <w:szCs w:val="24"/>
        </w:rPr>
        <w:t xml:space="preserve">Ethiopian government has expressed its </w:t>
      </w:r>
      <w:r w:rsidRPr="00A44028">
        <w:rPr>
          <w:rFonts w:ascii="Garamond" w:hAnsi="Garamond"/>
          <w:sz w:val="24"/>
          <w:szCs w:val="24"/>
        </w:rPr>
        <w:t xml:space="preserve">commitment to strengthening domestic </w:t>
      </w:r>
      <w:r>
        <w:rPr>
          <w:rFonts w:ascii="Garamond" w:hAnsi="Garamond"/>
          <w:sz w:val="24"/>
          <w:szCs w:val="24"/>
        </w:rPr>
        <w:t>tax revenue m</w:t>
      </w:r>
      <w:r w:rsidRPr="00A44028">
        <w:rPr>
          <w:rFonts w:ascii="Garamond" w:hAnsi="Garamond"/>
          <w:sz w:val="24"/>
          <w:szCs w:val="24"/>
        </w:rPr>
        <w:t>obilization</w:t>
      </w:r>
      <w:r>
        <w:rPr>
          <w:rFonts w:ascii="Garamond" w:hAnsi="Garamond"/>
          <w:sz w:val="24"/>
          <w:szCs w:val="24"/>
        </w:rPr>
        <w:t xml:space="preserve"> through various interventions as indicated in GTP-II. The establishment of a tax directorate with the Ministry of Finance and Economic Cooperation indicates government’s commitment to enhance the tax revenue capacity.  </w:t>
      </w:r>
    </w:p>
    <w:p w:rsidR="00C764A2" w:rsidRDefault="00C764A2" w:rsidP="00C764A2">
      <w:pPr>
        <w:autoSpaceDE w:val="0"/>
        <w:autoSpaceDN w:val="0"/>
        <w:adjustRightInd w:val="0"/>
        <w:spacing w:after="0" w:line="240" w:lineRule="auto"/>
        <w:jc w:val="both"/>
        <w:rPr>
          <w:rFonts w:ascii="Garamond" w:hAnsi="Garamond"/>
          <w:sz w:val="24"/>
          <w:szCs w:val="24"/>
        </w:rPr>
      </w:pPr>
    </w:p>
    <w:p w:rsidR="00C764A2" w:rsidRDefault="00C764A2" w:rsidP="00C764A2">
      <w:pPr>
        <w:autoSpaceDE w:val="0"/>
        <w:autoSpaceDN w:val="0"/>
        <w:adjustRightInd w:val="0"/>
        <w:spacing w:after="0" w:line="240" w:lineRule="auto"/>
        <w:jc w:val="both"/>
        <w:rPr>
          <w:rFonts w:ascii="Garamond" w:hAnsi="Garamond"/>
          <w:sz w:val="24"/>
          <w:szCs w:val="24"/>
        </w:rPr>
      </w:pPr>
      <w:r>
        <w:rPr>
          <w:rFonts w:ascii="Garamond" w:hAnsi="Garamond"/>
          <w:sz w:val="24"/>
          <w:szCs w:val="24"/>
        </w:rPr>
        <w:t>Domestic r</w:t>
      </w:r>
      <w:r w:rsidRPr="00123037">
        <w:rPr>
          <w:rFonts w:ascii="Garamond" w:hAnsi="Garamond"/>
          <w:sz w:val="24"/>
          <w:szCs w:val="24"/>
        </w:rPr>
        <w:t xml:space="preserve">evenue mobilization is also </w:t>
      </w:r>
      <w:r>
        <w:rPr>
          <w:rFonts w:ascii="Garamond" w:hAnsi="Garamond"/>
          <w:sz w:val="24"/>
          <w:szCs w:val="24"/>
        </w:rPr>
        <w:t xml:space="preserve">constrained </w:t>
      </w:r>
      <w:r w:rsidRPr="00123037">
        <w:rPr>
          <w:rFonts w:ascii="Garamond" w:hAnsi="Garamond"/>
          <w:sz w:val="24"/>
          <w:szCs w:val="24"/>
        </w:rPr>
        <w:t>by the preferential treatment granted to specific taxpayers through targeted tax deductions, credits, exclusions, or exemptions</w:t>
      </w:r>
      <w:r>
        <w:rPr>
          <w:rFonts w:ascii="Garamond" w:hAnsi="Garamond"/>
          <w:sz w:val="24"/>
          <w:szCs w:val="24"/>
        </w:rPr>
        <w:t xml:space="preserve"> to attract private investment.</w:t>
      </w:r>
      <w:r w:rsidRPr="00250266">
        <w:rPr>
          <w:rFonts w:ascii="Garamond" w:hAnsi="Garamond"/>
          <w:sz w:val="24"/>
          <w:szCs w:val="24"/>
        </w:rPr>
        <w:t xml:space="preserve"> </w:t>
      </w:r>
      <w:r>
        <w:rPr>
          <w:rFonts w:ascii="Garamond" w:hAnsi="Garamond"/>
          <w:sz w:val="24"/>
          <w:szCs w:val="24"/>
        </w:rPr>
        <w:t xml:space="preserve">Between 2005/06 and 2015/16, foregone revenue as a share of customs duty and taxes was on average 90 percent or 4 percent of gross domestic product (GDP). Although these incentives are meant to attract and stimulate private investment, </w:t>
      </w:r>
      <w:r w:rsidRPr="00123037">
        <w:rPr>
          <w:rFonts w:ascii="Garamond" w:hAnsi="Garamond"/>
          <w:sz w:val="24"/>
          <w:szCs w:val="24"/>
        </w:rPr>
        <w:t>the</w:t>
      </w:r>
      <w:r>
        <w:rPr>
          <w:rFonts w:ascii="Garamond" w:hAnsi="Garamond"/>
          <w:sz w:val="24"/>
          <w:szCs w:val="24"/>
        </w:rPr>
        <w:t xml:space="preserve">re is a need to closely monitor and evaluate their benefits vis-à-vis </w:t>
      </w:r>
      <w:r w:rsidRPr="00123037">
        <w:rPr>
          <w:rFonts w:ascii="Garamond" w:hAnsi="Garamond"/>
          <w:sz w:val="24"/>
          <w:szCs w:val="24"/>
        </w:rPr>
        <w:t>the foregone revenue</w:t>
      </w:r>
      <w:r>
        <w:rPr>
          <w:rFonts w:ascii="Garamond" w:hAnsi="Garamond"/>
          <w:sz w:val="24"/>
          <w:szCs w:val="24"/>
        </w:rPr>
        <w:t xml:space="preserve">. </w:t>
      </w:r>
      <w:r w:rsidRPr="00123037">
        <w:rPr>
          <w:rFonts w:ascii="Garamond" w:hAnsi="Garamond"/>
          <w:sz w:val="24"/>
          <w:szCs w:val="24"/>
        </w:rPr>
        <w:t xml:space="preserve"> </w:t>
      </w:r>
    </w:p>
    <w:p w:rsidR="00C764A2" w:rsidRDefault="00C764A2" w:rsidP="00C764A2">
      <w:pPr>
        <w:autoSpaceDE w:val="0"/>
        <w:autoSpaceDN w:val="0"/>
        <w:adjustRightInd w:val="0"/>
        <w:spacing w:after="0" w:line="240" w:lineRule="auto"/>
        <w:jc w:val="both"/>
        <w:rPr>
          <w:rFonts w:ascii="Garamond" w:hAnsi="Garamond"/>
          <w:sz w:val="24"/>
          <w:szCs w:val="24"/>
        </w:rPr>
      </w:pPr>
    </w:p>
    <w:p w:rsidR="00C764A2" w:rsidRDefault="00C764A2" w:rsidP="00C764A2">
      <w:pPr>
        <w:autoSpaceDE w:val="0"/>
        <w:autoSpaceDN w:val="0"/>
        <w:adjustRightInd w:val="0"/>
        <w:spacing w:after="0" w:line="240" w:lineRule="auto"/>
        <w:jc w:val="both"/>
        <w:rPr>
          <w:rFonts w:ascii="Garamond" w:hAnsi="Garamond"/>
          <w:sz w:val="24"/>
          <w:szCs w:val="24"/>
        </w:rPr>
      </w:pPr>
      <w:r w:rsidRPr="006B0E4E">
        <w:rPr>
          <w:rFonts w:ascii="Garamond" w:hAnsi="Garamond"/>
          <w:sz w:val="24"/>
          <w:szCs w:val="24"/>
        </w:rPr>
        <w:t xml:space="preserve">Although the financial sector has shown </w:t>
      </w:r>
      <w:r>
        <w:rPr>
          <w:rFonts w:ascii="Garamond" w:hAnsi="Garamond"/>
          <w:sz w:val="24"/>
          <w:szCs w:val="24"/>
        </w:rPr>
        <w:t>rapid expansion</w:t>
      </w:r>
      <w:r w:rsidRPr="006B0E4E">
        <w:rPr>
          <w:rFonts w:ascii="Garamond" w:hAnsi="Garamond"/>
          <w:sz w:val="24"/>
          <w:szCs w:val="24"/>
        </w:rPr>
        <w:t xml:space="preserve">, </w:t>
      </w:r>
      <w:r>
        <w:rPr>
          <w:rFonts w:ascii="Garamond" w:hAnsi="Garamond"/>
          <w:sz w:val="24"/>
          <w:szCs w:val="24"/>
        </w:rPr>
        <w:t>the coverage is i</w:t>
      </w:r>
      <w:r w:rsidRPr="006B0E4E">
        <w:rPr>
          <w:rFonts w:ascii="Garamond" w:hAnsi="Garamond"/>
          <w:sz w:val="24"/>
          <w:szCs w:val="24"/>
        </w:rPr>
        <w:t>nadequate compared to the si</w:t>
      </w:r>
      <w:r>
        <w:rPr>
          <w:rFonts w:ascii="Garamond" w:hAnsi="Garamond"/>
          <w:sz w:val="24"/>
          <w:szCs w:val="24"/>
        </w:rPr>
        <w:t>ze of the country’s population, with large unbanked population. G</w:t>
      </w:r>
      <w:r w:rsidRPr="006B0E4E">
        <w:rPr>
          <w:rFonts w:ascii="Garamond" w:hAnsi="Garamond"/>
          <w:sz w:val="24"/>
          <w:szCs w:val="24"/>
        </w:rPr>
        <w:t xml:space="preserve">iven that commercial banks and insurance companies are concentrated in cities and towns, the majority of rural population still have limited access to financial services. </w:t>
      </w:r>
      <w:r>
        <w:rPr>
          <w:rFonts w:ascii="Garamond" w:hAnsi="Garamond"/>
          <w:sz w:val="24"/>
          <w:szCs w:val="24"/>
        </w:rPr>
        <w:t>T</w:t>
      </w:r>
      <w:r w:rsidRPr="0037784E">
        <w:rPr>
          <w:rFonts w:ascii="Garamond" w:hAnsi="Garamond"/>
          <w:sz w:val="24"/>
          <w:szCs w:val="24"/>
        </w:rPr>
        <w:t xml:space="preserve">here </w:t>
      </w:r>
      <w:r>
        <w:rPr>
          <w:rFonts w:ascii="Garamond" w:hAnsi="Garamond"/>
          <w:sz w:val="24"/>
          <w:szCs w:val="24"/>
        </w:rPr>
        <w:t xml:space="preserve">is </w:t>
      </w:r>
      <w:r w:rsidRPr="0037784E">
        <w:rPr>
          <w:rFonts w:ascii="Garamond" w:hAnsi="Garamond"/>
          <w:sz w:val="24"/>
          <w:szCs w:val="24"/>
        </w:rPr>
        <w:t xml:space="preserve">huge finance outside the formal </w:t>
      </w:r>
      <w:r>
        <w:rPr>
          <w:rFonts w:ascii="Garamond" w:hAnsi="Garamond"/>
          <w:sz w:val="24"/>
          <w:szCs w:val="24"/>
        </w:rPr>
        <w:t xml:space="preserve">financial </w:t>
      </w:r>
      <w:r w:rsidRPr="0037784E">
        <w:rPr>
          <w:rFonts w:ascii="Garamond" w:hAnsi="Garamond"/>
          <w:sz w:val="24"/>
          <w:szCs w:val="24"/>
        </w:rPr>
        <w:t xml:space="preserve">sector. </w:t>
      </w:r>
      <w:r>
        <w:rPr>
          <w:rFonts w:ascii="Garamond" w:hAnsi="Garamond"/>
          <w:sz w:val="24"/>
          <w:szCs w:val="24"/>
        </w:rPr>
        <w:t>Between 2010/11 and 2015/16, currency outside banks grew on average by 14.5 percent, indicating a large potential to tap this finance for financing development activities.</w:t>
      </w:r>
    </w:p>
    <w:p w:rsidR="00C764A2" w:rsidRDefault="00C764A2" w:rsidP="00C764A2">
      <w:pPr>
        <w:spacing w:after="0" w:line="240" w:lineRule="auto"/>
        <w:jc w:val="both"/>
        <w:rPr>
          <w:rFonts w:ascii="Garamond" w:hAnsi="Garamond"/>
          <w:sz w:val="24"/>
          <w:szCs w:val="24"/>
        </w:rPr>
      </w:pPr>
    </w:p>
    <w:p w:rsidR="00E2406B" w:rsidRDefault="00C764A2" w:rsidP="00C764A2">
      <w:pPr>
        <w:spacing w:after="0" w:line="240" w:lineRule="auto"/>
        <w:jc w:val="both"/>
        <w:rPr>
          <w:rFonts w:ascii="Garamond" w:hAnsi="Garamond"/>
          <w:sz w:val="24"/>
          <w:szCs w:val="24"/>
        </w:rPr>
      </w:pPr>
      <w:r>
        <w:rPr>
          <w:rFonts w:ascii="Garamond" w:hAnsi="Garamond"/>
          <w:sz w:val="24"/>
          <w:szCs w:val="24"/>
        </w:rPr>
        <w:t xml:space="preserve">Harnessing domestic private sector is crucial in speeding up the country’s transformation process. However, the majority of domestic </w:t>
      </w:r>
      <w:r w:rsidRPr="00C9148F">
        <w:rPr>
          <w:rFonts w:ascii="Garamond" w:hAnsi="Garamond"/>
          <w:sz w:val="24"/>
          <w:szCs w:val="24"/>
        </w:rPr>
        <w:t xml:space="preserve">private investment projects </w:t>
      </w:r>
      <w:r>
        <w:rPr>
          <w:rFonts w:ascii="Garamond" w:hAnsi="Garamond"/>
          <w:sz w:val="24"/>
          <w:szCs w:val="24"/>
        </w:rPr>
        <w:t>r</w:t>
      </w:r>
      <w:r w:rsidRPr="00C9148F">
        <w:rPr>
          <w:rFonts w:ascii="Garamond" w:hAnsi="Garamond"/>
          <w:sz w:val="24"/>
          <w:szCs w:val="24"/>
        </w:rPr>
        <w:t>egistered with the federal</w:t>
      </w:r>
      <w:r>
        <w:rPr>
          <w:rFonts w:ascii="Garamond" w:hAnsi="Garamond"/>
          <w:sz w:val="24"/>
          <w:szCs w:val="24"/>
        </w:rPr>
        <w:t xml:space="preserve"> </w:t>
      </w:r>
      <w:r w:rsidRPr="00C9148F">
        <w:rPr>
          <w:rFonts w:ascii="Garamond" w:hAnsi="Garamond"/>
          <w:sz w:val="24"/>
          <w:szCs w:val="24"/>
        </w:rPr>
        <w:t xml:space="preserve">and regional </w:t>
      </w:r>
      <w:r>
        <w:rPr>
          <w:rFonts w:ascii="Garamond" w:hAnsi="Garamond"/>
          <w:sz w:val="24"/>
          <w:szCs w:val="24"/>
        </w:rPr>
        <w:t xml:space="preserve">offices have not been </w:t>
      </w:r>
      <w:r w:rsidRPr="00C9148F">
        <w:rPr>
          <w:rFonts w:ascii="Garamond" w:hAnsi="Garamond"/>
          <w:sz w:val="24"/>
          <w:szCs w:val="24"/>
        </w:rPr>
        <w:t>translate</w:t>
      </w:r>
      <w:r>
        <w:rPr>
          <w:rFonts w:ascii="Garamond" w:hAnsi="Garamond"/>
          <w:sz w:val="24"/>
          <w:szCs w:val="24"/>
        </w:rPr>
        <w:t>d</w:t>
      </w:r>
      <w:r w:rsidRPr="00C9148F">
        <w:rPr>
          <w:rFonts w:ascii="Garamond" w:hAnsi="Garamond"/>
          <w:sz w:val="24"/>
          <w:szCs w:val="24"/>
        </w:rPr>
        <w:t xml:space="preserve"> into actual investments</w:t>
      </w:r>
      <w:r>
        <w:rPr>
          <w:rFonts w:ascii="Garamond" w:hAnsi="Garamond"/>
          <w:sz w:val="24"/>
          <w:szCs w:val="24"/>
        </w:rPr>
        <w:t xml:space="preserve"> as only a very small proportion of </w:t>
      </w:r>
      <w:r>
        <w:rPr>
          <w:rFonts w:ascii="Garamond" w:hAnsi="Garamond"/>
          <w:sz w:val="24"/>
          <w:szCs w:val="24"/>
        </w:rPr>
        <w:lastRenderedPageBreak/>
        <w:t>licensed projects have become operational</w:t>
      </w:r>
      <w:r w:rsidRPr="00C9148F">
        <w:rPr>
          <w:rFonts w:ascii="Garamond" w:hAnsi="Garamond"/>
          <w:sz w:val="24"/>
          <w:szCs w:val="24"/>
        </w:rPr>
        <w:t>.</w:t>
      </w:r>
      <w:r w:rsidRPr="00A001F8">
        <w:rPr>
          <w:rFonts w:ascii="Garamond" w:hAnsi="Garamond"/>
          <w:sz w:val="24"/>
          <w:szCs w:val="24"/>
        </w:rPr>
        <w:t xml:space="preserve"> </w:t>
      </w:r>
      <w:r>
        <w:rPr>
          <w:rFonts w:ascii="Garamond" w:hAnsi="Garamond"/>
          <w:sz w:val="24"/>
          <w:szCs w:val="24"/>
        </w:rPr>
        <w:t xml:space="preserve">This requires close monitoring and follow up of licensed projects and facilitate their graduation from pre-implementation to implementation and operation phases. </w:t>
      </w:r>
    </w:p>
    <w:p w:rsidR="002B2734" w:rsidRDefault="002B2734" w:rsidP="002B2734">
      <w:pPr>
        <w:autoSpaceDE w:val="0"/>
        <w:autoSpaceDN w:val="0"/>
        <w:adjustRightInd w:val="0"/>
        <w:spacing w:after="0" w:line="240" w:lineRule="auto"/>
        <w:jc w:val="both"/>
        <w:rPr>
          <w:rFonts w:ascii="Garamond" w:hAnsi="Garamond"/>
          <w:sz w:val="24"/>
          <w:szCs w:val="24"/>
        </w:rPr>
      </w:pPr>
      <w:r>
        <w:rPr>
          <w:rFonts w:ascii="Garamond" w:hAnsi="Garamond"/>
          <w:sz w:val="24"/>
          <w:szCs w:val="24"/>
        </w:rPr>
        <w:t>Leveraging</w:t>
      </w:r>
      <w:r w:rsidRPr="007A10BE">
        <w:rPr>
          <w:rFonts w:ascii="Garamond" w:hAnsi="Garamond"/>
          <w:sz w:val="24"/>
          <w:szCs w:val="24"/>
        </w:rPr>
        <w:t xml:space="preserve"> non-state resources through partnership with the private sector serves as a</w:t>
      </w:r>
      <w:r>
        <w:rPr>
          <w:rFonts w:ascii="Garamond" w:hAnsi="Garamond"/>
          <w:sz w:val="24"/>
          <w:szCs w:val="24"/>
        </w:rPr>
        <w:t>n</w:t>
      </w:r>
      <w:r w:rsidRPr="007A10BE">
        <w:rPr>
          <w:rFonts w:ascii="Garamond" w:hAnsi="Garamond"/>
          <w:sz w:val="24"/>
          <w:szCs w:val="24"/>
        </w:rPr>
        <w:t xml:space="preserve"> opportunity for the </w:t>
      </w:r>
      <w:r>
        <w:rPr>
          <w:rFonts w:ascii="Garamond" w:hAnsi="Garamond"/>
          <w:sz w:val="24"/>
          <w:szCs w:val="24"/>
        </w:rPr>
        <w:t>g</w:t>
      </w:r>
      <w:r w:rsidRPr="007A10BE">
        <w:rPr>
          <w:rFonts w:ascii="Garamond" w:hAnsi="Garamond"/>
          <w:sz w:val="24"/>
          <w:szCs w:val="24"/>
        </w:rPr>
        <w:t>overnment to narrow the gaps caused by resource constraints</w:t>
      </w:r>
      <w:r>
        <w:rPr>
          <w:rFonts w:ascii="Garamond" w:hAnsi="Garamond"/>
          <w:sz w:val="24"/>
          <w:szCs w:val="24"/>
        </w:rPr>
        <w:t xml:space="preserve">. For instance, about USD 4 billion capital was raised in three PPP arrangements alone, namely, </w:t>
      </w:r>
      <w:r w:rsidRPr="003874EA">
        <w:rPr>
          <w:rFonts w:ascii="Garamond" w:hAnsi="Garamond"/>
          <w:i/>
          <w:sz w:val="24"/>
          <w:szCs w:val="24"/>
        </w:rPr>
        <w:t>Lehulu</w:t>
      </w:r>
      <w:r>
        <w:rPr>
          <w:rFonts w:ascii="Garamond" w:hAnsi="Garamond"/>
          <w:sz w:val="24"/>
          <w:szCs w:val="24"/>
        </w:rPr>
        <w:t xml:space="preserve">, Addis Ababa Exhibition Center, and geothermal energy projects. </w:t>
      </w:r>
      <w:r w:rsidR="00373FEC">
        <w:rPr>
          <w:rFonts w:ascii="Garamond" w:hAnsi="Garamond"/>
          <w:sz w:val="24"/>
          <w:szCs w:val="24"/>
        </w:rPr>
        <w:t>However, t</w:t>
      </w:r>
      <w:r w:rsidR="00373FEC" w:rsidRPr="002B2734">
        <w:rPr>
          <w:rFonts w:ascii="Garamond" w:hAnsi="Garamond"/>
          <w:sz w:val="24"/>
          <w:szCs w:val="24"/>
        </w:rPr>
        <w:t>he utilization public-private partnership in supporting development is limited despite existence of good practices in the country.</w:t>
      </w:r>
      <w:r w:rsidR="00373FEC">
        <w:rPr>
          <w:rFonts w:ascii="Garamond" w:hAnsi="Garamond"/>
          <w:sz w:val="24"/>
          <w:szCs w:val="24"/>
        </w:rPr>
        <w:t xml:space="preserve"> Specific policy and legal framework governing PPP is yet to come, leading to an ad hoc undertaking of PP projects in the country.</w:t>
      </w:r>
      <w:r w:rsidR="00373FEC" w:rsidRPr="002B2734">
        <w:rPr>
          <w:rFonts w:ascii="Garamond" w:hAnsi="Garamond"/>
          <w:sz w:val="24"/>
          <w:szCs w:val="24"/>
        </w:rPr>
        <w:t xml:space="preserve"> </w:t>
      </w:r>
      <w:r w:rsidR="00373FEC">
        <w:rPr>
          <w:rFonts w:ascii="Garamond" w:hAnsi="Garamond"/>
          <w:sz w:val="24"/>
          <w:szCs w:val="24"/>
        </w:rPr>
        <w:t>Implementation of PPPs has been a challenge due to weak technical and managerial capacity to execute PPP contractual arrangements, inadequate awareness about PPP, lack of specific legal frameworks, l</w:t>
      </w:r>
      <w:r w:rsidR="00373FEC" w:rsidRPr="008763CC">
        <w:rPr>
          <w:rFonts w:ascii="Garamond" w:hAnsi="Garamond"/>
          <w:sz w:val="24"/>
          <w:szCs w:val="24"/>
        </w:rPr>
        <w:t>ack of a standardized PPP operating procedure</w:t>
      </w:r>
      <w:r w:rsidR="00373FEC">
        <w:rPr>
          <w:rFonts w:ascii="Garamond" w:hAnsi="Garamond"/>
          <w:sz w:val="24"/>
          <w:szCs w:val="24"/>
        </w:rPr>
        <w:t xml:space="preserve">, weak contract negotiation capacity, and financial constraints. There are </w:t>
      </w:r>
      <w:r w:rsidR="00D6315C">
        <w:rPr>
          <w:rFonts w:ascii="Garamond" w:hAnsi="Garamond"/>
          <w:sz w:val="24"/>
          <w:szCs w:val="24"/>
        </w:rPr>
        <w:t xml:space="preserve">ongoing </w:t>
      </w:r>
      <w:r w:rsidR="00373FEC">
        <w:rPr>
          <w:rFonts w:ascii="Garamond" w:hAnsi="Garamond"/>
          <w:sz w:val="24"/>
          <w:szCs w:val="24"/>
        </w:rPr>
        <w:t>e</w:t>
      </w:r>
      <w:r>
        <w:rPr>
          <w:rFonts w:ascii="Garamond" w:hAnsi="Garamond"/>
          <w:sz w:val="24"/>
          <w:szCs w:val="24"/>
        </w:rPr>
        <w:t>fforts to establish PPP</w:t>
      </w:r>
      <w:r w:rsidR="00D6315C" w:rsidRPr="00D6315C">
        <w:rPr>
          <w:rFonts w:ascii="Garamond" w:hAnsi="Garamond"/>
          <w:sz w:val="24"/>
          <w:szCs w:val="24"/>
        </w:rPr>
        <w:t xml:space="preserve"> </w:t>
      </w:r>
      <w:r w:rsidR="00D6315C">
        <w:rPr>
          <w:rFonts w:ascii="Garamond" w:hAnsi="Garamond"/>
          <w:sz w:val="24"/>
          <w:szCs w:val="24"/>
        </w:rPr>
        <w:t>within the Ministry of Finance and Economic Cooperation</w:t>
      </w:r>
      <w:r>
        <w:rPr>
          <w:rFonts w:ascii="Garamond" w:hAnsi="Garamond"/>
          <w:sz w:val="24"/>
          <w:szCs w:val="24"/>
        </w:rPr>
        <w:t xml:space="preserve">, with </w:t>
      </w:r>
      <w:r w:rsidR="00373FEC">
        <w:rPr>
          <w:rFonts w:ascii="Garamond" w:hAnsi="Garamond"/>
          <w:sz w:val="24"/>
          <w:szCs w:val="24"/>
        </w:rPr>
        <w:t xml:space="preserve">a </w:t>
      </w:r>
      <w:r>
        <w:rPr>
          <w:rFonts w:ascii="Garamond" w:hAnsi="Garamond"/>
          <w:sz w:val="24"/>
          <w:szCs w:val="24"/>
        </w:rPr>
        <w:t xml:space="preserve">draft legal framework for PPP </w:t>
      </w:r>
      <w:r w:rsidR="00D6315C">
        <w:rPr>
          <w:rFonts w:ascii="Garamond" w:hAnsi="Garamond"/>
          <w:sz w:val="24"/>
          <w:szCs w:val="24"/>
        </w:rPr>
        <w:t>establishment has been prepared</w:t>
      </w:r>
      <w:r>
        <w:rPr>
          <w:rFonts w:ascii="Garamond" w:hAnsi="Garamond"/>
          <w:sz w:val="24"/>
          <w:szCs w:val="24"/>
        </w:rPr>
        <w:t>. The finalization of this legal framework helps establish a dedicated and functional institution for nurturing PPP to mobilize resources from the private sector. However, this needs to be followed by capacity building programme for public and private sector to successfully implement the PPP framework.</w:t>
      </w:r>
    </w:p>
    <w:p w:rsidR="00C764A2" w:rsidRDefault="00C764A2" w:rsidP="00C764A2">
      <w:pPr>
        <w:spacing w:after="0" w:line="240" w:lineRule="auto"/>
        <w:jc w:val="both"/>
        <w:rPr>
          <w:rFonts w:ascii="Garamond" w:hAnsi="Garamond"/>
          <w:sz w:val="24"/>
          <w:szCs w:val="24"/>
        </w:rPr>
      </w:pPr>
    </w:p>
    <w:p w:rsidR="00C764A2" w:rsidRDefault="00C764A2" w:rsidP="00C764A2">
      <w:pPr>
        <w:autoSpaceDE w:val="0"/>
        <w:autoSpaceDN w:val="0"/>
        <w:adjustRightInd w:val="0"/>
        <w:spacing w:after="0" w:line="240" w:lineRule="auto"/>
        <w:jc w:val="both"/>
        <w:rPr>
          <w:rFonts w:ascii="Garamond" w:hAnsi="Garamond"/>
          <w:sz w:val="24"/>
          <w:szCs w:val="24"/>
        </w:rPr>
      </w:pPr>
      <w:r w:rsidRPr="001E15D8">
        <w:rPr>
          <w:rFonts w:ascii="Garamond" w:hAnsi="Garamond"/>
          <w:sz w:val="24"/>
          <w:szCs w:val="24"/>
        </w:rPr>
        <w:t xml:space="preserve">Private international </w:t>
      </w:r>
      <w:r>
        <w:rPr>
          <w:rFonts w:ascii="Garamond" w:hAnsi="Garamond"/>
          <w:sz w:val="24"/>
          <w:szCs w:val="24"/>
        </w:rPr>
        <w:t xml:space="preserve">finance sources, which include </w:t>
      </w:r>
      <w:r w:rsidRPr="000734EE">
        <w:rPr>
          <w:rFonts w:ascii="Garamond" w:hAnsi="Garamond"/>
          <w:sz w:val="24"/>
          <w:szCs w:val="24"/>
        </w:rPr>
        <w:t>remittances</w:t>
      </w:r>
      <w:r>
        <w:rPr>
          <w:rFonts w:ascii="Garamond" w:hAnsi="Garamond"/>
          <w:sz w:val="24"/>
          <w:szCs w:val="24"/>
        </w:rPr>
        <w:t xml:space="preserve"> and foreign direct investment, are important sources of development finance. International </w:t>
      </w:r>
      <w:r w:rsidRPr="001E15D8">
        <w:rPr>
          <w:rFonts w:ascii="Garamond" w:hAnsi="Garamond"/>
          <w:sz w:val="24"/>
          <w:szCs w:val="24"/>
        </w:rPr>
        <w:t>remittance</w:t>
      </w:r>
      <w:r>
        <w:rPr>
          <w:rFonts w:ascii="Garamond" w:hAnsi="Garamond"/>
          <w:sz w:val="24"/>
          <w:szCs w:val="24"/>
        </w:rPr>
        <w:t xml:space="preserve"> </w:t>
      </w:r>
      <w:r w:rsidRPr="001E15D8">
        <w:rPr>
          <w:rFonts w:ascii="Garamond" w:hAnsi="Garamond"/>
          <w:sz w:val="24"/>
          <w:szCs w:val="24"/>
        </w:rPr>
        <w:t>forms the major share of dev</w:t>
      </w:r>
      <w:r>
        <w:rPr>
          <w:rFonts w:ascii="Garamond" w:hAnsi="Garamond"/>
          <w:sz w:val="24"/>
          <w:szCs w:val="24"/>
        </w:rPr>
        <w:t xml:space="preserve">elopment financing in Ethiopia, surpassing merchandise exports in recent years. The </w:t>
      </w:r>
      <w:r w:rsidRPr="002A17E7">
        <w:rPr>
          <w:rFonts w:ascii="Garamond" w:hAnsi="Garamond"/>
          <w:sz w:val="24"/>
          <w:szCs w:val="24"/>
        </w:rPr>
        <w:t>actual remittance inflows to Ethiopia could be higher than that reported by the National Bank of Ethiopia as people use informal ways of transferring money</w:t>
      </w:r>
      <w:r>
        <w:rPr>
          <w:rFonts w:ascii="Garamond" w:hAnsi="Garamond"/>
          <w:sz w:val="24"/>
          <w:szCs w:val="24"/>
        </w:rPr>
        <w:t xml:space="preserve">. The inflow of remittances could be enhanced through among others allowing additional operators </w:t>
      </w:r>
      <w:r w:rsidRPr="009D66D3">
        <w:rPr>
          <w:rFonts w:ascii="Garamond" w:hAnsi="Garamond"/>
          <w:sz w:val="24"/>
          <w:szCs w:val="24"/>
        </w:rPr>
        <w:t>to play a larger role in money transfers</w:t>
      </w:r>
      <w:r w:rsidR="00AE6D14">
        <w:rPr>
          <w:rFonts w:ascii="Garamond" w:hAnsi="Garamond"/>
          <w:sz w:val="24"/>
          <w:szCs w:val="24"/>
        </w:rPr>
        <w:t xml:space="preserve"> (e.g. microfinance institutions)</w:t>
      </w:r>
      <w:r>
        <w:rPr>
          <w:rFonts w:ascii="Garamond" w:hAnsi="Garamond"/>
          <w:sz w:val="24"/>
          <w:szCs w:val="24"/>
        </w:rPr>
        <w:t xml:space="preserve"> and opening up bank branches or money transfer agents in areas where there is large concentration of Diaspora</w:t>
      </w:r>
      <w:r w:rsidRPr="009D66D3">
        <w:rPr>
          <w:rFonts w:ascii="Garamond" w:hAnsi="Garamond"/>
          <w:sz w:val="24"/>
          <w:szCs w:val="24"/>
        </w:rPr>
        <w:t>.</w:t>
      </w:r>
      <w:r w:rsidR="007117B1">
        <w:rPr>
          <w:rFonts w:ascii="Garamond" w:hAnsi="Garamond"/>
          <w:sz w:val="24"/>
          <w:szCs w:val="24"/>
        </w:rPr>
        <w:t xml:space="preserve"> Although the GTP-II recognizes the importance of remittance as a source of foreign exchange earnings, </w:t>
      </w:r>
      <w:r w:rsidR="001960EB" w:rsidRPr="00113141">
        <w:rPr>
          <w:rFonts w:ascii="Garamond" w:hAnsi="Garamond"/>
          <w:sz w:val="24"/>
          <w:szCs w:val="24"/>
        </w:rPr>
        <w:t xml:space="preserve">it does not explicitly address this with the same level of priority and </w:t>
      </w:r>
      <w:r w:rsidR="001960EB">
        <w:rPr>
          <w:rFonts w:ascii="Garamond" w:hAnsi="Garamond"/>
          <w:sz w:val="24"/>
          <w:szCs w:val="24"/>
        </w:rPr>
        <w:t xml:space="preserve">does not provide </w:t>
      </w:r>
      <w:r w:rsidR="001960EB" w:rsidRPr="00113141">
        <w:rPr>
          <w:rFonts w:ascii="Garamond" w:hAnsi="Garamond"/>
          <w:sz w:val="24"/>
          <w:szCs w:val="24"/>
        </w:rPr>
        <w:t>any explicit operational linkages between national priorities</w:t>
      </w:r>
      <w:r w:rsidR="001960EB">
        <w:rPr>
          <w:rFonts w:ascii="Garamond" w:hAnsi="Garamond"/>
          <w:sz w:val="24"/>
          <w:szCs w:val="24"/>
        </w:rPr>
        <w:t xml:space="preserve">. </w:t>
      </w:r>
    </w:p>
    <w:p w:rsidR="00C764A2" w:rsidRDefault="00C764A2" w:rsidP="00C764A2">
      <w:pPr>
        <w:autoSpaceDE w:val="0"/>
        <w:autoSpaceDN w:val="0"/>
        <w:adjustRightInd w:val="0"/>
        <w:spacing w:after="0" w:line="240" w:lineRule="auto"/>
        <w:jc w:val="both"/>
        <w:rPr>
          <w:rFonts w:ascii="Garamond" w:hAnsi="Garamond"/>
          <w:sz w:val="24"/>
          <w:szCs w:val="24"/>
        </w:rPr>
      </w:pPr>
    </w:p>
    <w:p w:rsidR="00C764A2" w:rsidRDefault="00C764A2" w:rsidP="00C764A2">
      <w:pPr>
        <w:autoSpaceDE w:val="0"/>
        <w:autoSpaceDN w:val="0"/>
        <w:adjustRightInd w:val="0"/>
        <w:spacing w:after="0" w:line="240" w:lineRule="auto"/>
        <w:jc w:val="both"/>
        <w:rPr>
          <w:rFonts w:ascii="Garamond" w:hAnsi="Garamond"/>
          <w:sz w:val="24"/>
          <w:szCs w:val="24"/>
        </w:rPr>
      </w:pPr>
      <w:r>
        <w:rPr>
          <w:rFonts w:ascii="Garamond" w:hAnsi="Garamond"/>
          <w:sz w:val="24"/>
          <w:szCs w:val="24"/>
        </w:rPr>
        <w:t>F</w:t>
      </w:r>
      <w:r w:rsidRPr="00F11923">
        <w:rPr>
          <w:rFonts w:ascii="Garamond" w:hAnsi="Garamond"/>
          <w:sz w:val="24"/>
          <w:szCs w:val="24"/>
        </w:rPr>
        <w:t>oreign</w:t>
      </w:r>
      <w:r>
        <w:rPr>
          <w:rFonts w:ascii="Garamond" w:hAnsi="Garamond"/>
          <w:sz w:val="24"/>
          <w:szCs w:val="24"/>
        </w:rPr>
        <w:t xml:space="preserve"> direct investment (</w:t>
      </w:r>
      <w:r w:rsidRPr="00F11923">
        <w:rPr>
          <w:rFonts w:ascii="Garamond" w:hAnsi="Garamond"/>
          <w:sz w:val="24"/>
          <w:szCs w:val="24"/>
        </w:rPr>
        <w:t>FDI</w:t>
      </w:r>
      <w:r>
        <w:rPr>
          <w:rFonts w:ascii="Garamond" w:hAnsi="Garamond"/>
          <w:sz w:val="24"/>
          <w:szCs w:val="24"/>
        </w:rPr>
        <w:t>)</w:t>
      </w:r>
      <w:r w:rsidRPr="00F11923">
        <w:rPr>
          <w:rFonts w:ascii="Garamond" w:hAnsi="Garamond"/>
          <w:sz w:val="24"/>
          <w:szCs w:val="24"/>
        </w:rPr>
        <w:t xml:space="preserve"> to </w:t>
      </w:r>
      <w:r>
        <w:rPr>
          <w:rFonts w:ascii="Garamond" w:hAnsi="Garamond"/>
          <w:sz w:val="24"/>
          <w:szCs w:val="24"/>
        </w:rPr>
        <w:t xml:space="preserve">Ethiopia increased </w:t>
      </w:r>
      <w:r w:rsidRPr="00F11923">
        <w:rPr>
          <w:rFonts w:ascii="Garamond" w:hAnsi="Garamond"/>
          <w:sz w:val="24"/>
          <w:szCs w:val="24"/>
        </w:rPr>
        <w:t>sharply in the last 15 years</w:t>
      </w:r>
      <w:r>
        <w:rPr>
          <w:rFonts w:ascii="Garamond" w:hAnsi="Garamond"/>
          <w:sz w:val="24"/>
          <w:szCs w:val="24"/>
        </w:rPr>
        <w:t xml:space="preserve">, </w:t>
      </w:r>
      <w:r w:rsidRPr="00F11923">
        <w:rPr>
          <w:rFonts w:ascii="Garamond" w:hAnsi="Garamond"/>
          <w:sz w:val="24"/>
          <w:szCs w:val="24"/>
        </w:rPr>
        <w:t>grew</w:t>
      </w:r>
      <w:r>
        <w:rPr>
          <w:rFonts w:ascii="Garamond" w:hAnsi="Garamond"/>
          <w:sz w:val="24"/>
          <w:szCs w:val="24"/>
        </w:rPr>
        <w:t xml:space="preserve"> on average by about 29 percent per year between 2000 and 2015. However, FDI flows lack diversification across country of origin, with China, India, Turkey and others from Middle East account for a large proportion of FDI in Ethiopia. </w:t>
      </w:r>
    </w:p>
    <w:p w:rsidR="00C764A2" w:rsidRDefault="00C764A2" w:rsidP="00C764A2">
      <w:pPr>
        <w:autoSpaceDE w:val="0"/>
        <w:autoSpaceDN w:val="0"/>
        <w:adjustRightInd w:val="0"/>
        <w:spacing w:after="0" w:line="240" w:lineRule="auto"/>
        <w:jc w:val="both"/>
      </w:pPr>
    </w:p>
    <w:p w:rsidR="00C764A2" w:rsidRDefault="00C764A2" w:rsidP="00C764A2">
      <w:pPr>
        <w:autoSpaceDE w:val="0"/>
        <w:autoSpaceDN w:val="0"/>
        <w:adjustRightInd w:val="0"/>
        <w:spacing w:after="0" w:line="240" w:lineRule="auto"/>
        <w:jc w:val="both"/>
        <w:rPr>
          <w:rFonts w:ascii="Garamond" w:hAnsi="Garamond"/>
          <w:sz w:val="24"/>
          <w:szCs w:val="24"/>
        </w:rPr>
      </w:pPr>
      <w:r>
        <w:rPr>
          <w:rFonts w:ascii="Garamond" w:hAnsi="Garamond"/>
          <w:sz w:val="24"/>
          <w:szCs w:val="24"/>
        </w:rPr>
        <w:t>Creating an enabling business environment in terms of s</w:t>
      </w:r>
      <w:r w:rsidRPr="000B59D1">
        <w:rPr>
          <w:rFonts w:ascii="Garamond" w:hAnsi="Garamond"/>
          <w:sz w:val="24"/>
          <w:szCs w:val="24"/>
        </w:rPr>
        <w:t>table and transparent regulatory systems, good investment</w:t>
      </w:r>
      <w:r>
        <w:rPr>
          <w:rFonts w:ascii="Garamond" w:hAnsi="Garamond"/>
          <w:sz w:val="24"/>
          <w:szCs w:val="24"/>
        </w:rPr>
        <w:t xml:space="preserve"> climate and sound macro-</w:t>
      </w:r>
      <w:r w:rsidRPr="000B59D1">
        <w:rPr>
          <w:rFonts w:ascii="Garamond" w:hAnsi="Garamond"/>
          <w:sz w:val="24"/>
          <w:szCs w:val="24"/>
        </w:rPr>
        <w:t xml:space="preserve">economic and financial policies are </w:t>
      </w:r>
      <w:r>
        <w:rPr>
          <w:rFonts w:ascii="Garamond" w:hAnsi="Garamond"/>
          <w:sz w:val="24"/>
          <w:szCs w:val="24"/>
        </w:rPr>
        <w:t>essential to attract FDI in terms of both quality and diversity. However, Ethiopia’s rank on ease of doing business deteriorated in 2017 (declined from 146 in 2016 to 159 in 2017). In particular, significant push is required in some specific ease of doing business indicators such as starting a business and getting credit. The country also performs badly in t</w:t>
      </w:r>
      <w:r w:rsidRPr="0071455B">
        <w:rPr>
          <w:rFonts w:ascii="Garamond" w:hAnsi="Garamond"/>
          <w:sz w:val="24"/>
          <w:szCs w:val="24"/>
        </w:rPr>
        <w:t>he World Bank’s Logistic</w:t>
      </w:r>
      <w:r>
        <w:rPr>
          <w:rFonts w:ascii="Garamond" w:hAnsi="Garamond"/>
          <w:sz w:val="24"/>
          <w:szCs w:val="24"/>
        </w:rPr>
        <w:t>s</w:t>
      </w:r>
      <w:r w:rsidRPr="0071455B">
        <w:rPr>
          <w:rFonts w:ascii="Garamond" w:hAnsi="Garamond"/>
          <w:sz w:val="24"/>
          <w:szCs w:val="24"/>
        </w:rPr>
        <w:t xml:space="preserve"> Performance Index </w:t>
      </w:r>
      <w:r>
        <w:rPr>
          <w:rFonts w:ascii="Garamond" w:hAnsi="Garamond"/>
          <w:sz w:val="24"/>
          <w:szCs w:val="24"/>
        </w:rPr>
        <w:t xml:space="preserve">(LPI) as its </w:t>
      </w:r>
      <w:r w:rsidRPr="0071455B">
        <w:rPr>
          <w:rFonts w:ascii="Garamond" w:hAnsi="Garamond"/>
          <w:sz w:val="24"/>
          <w:szCs w:val="24"/>
        </w:rPr>
        <w:t xml:space="preserve">overall rank </w:t>
      </w:r>
      <w:r>
        <w:rPr>
          <w:rFonts w:ascii="Garamond" w:hAnsi="Garamond"/>
          <w:sz w:val="24"/>
          <w:szCs w:val="24"/>
        </w:rPr>
        <w:t xml:space="preserve">declined recently (deteriorated </w:t>
      </w:r>
      <w:r w:rsidRPr="0071455B">
        <w:rPr>
          <w:rFonts w:ascii="Garamond" w:hAnsi="Garamond"/>
          <w:sz w:val="24"/>
          <w:szCs w:val="24"/>
        </w:rPr>
        <w:t>from 1</w:t>
      </w:r>
      <w:r>
        <w:rPr>
          <w:rFonts w:ascii="Garamond" w:hAnsi="Garamond"/>
          <w:sz w:val="24"/>
          <w:szCs w:val="24"/>
        </w:rPr>
        <w:t>04</w:t>
      </w:r>
      <w:r w:rsidRPr="0071455B">
        <w:rPr>
          <w:rFonts w:ascii="Garamond" w:hAnsi="Garamond"/>
          <w:sz w:val="24"/>
          <w:szCs w:val="24"/>
          <w:vertAlign w:val="superscript"/>
        </w:rPr>
        <w:t>th</w:t>
      </w:r>
      <w:r w:rsidRPr="0071455B">
        <w:rPr>
          <w:rFonts w:ascii="Garamond" w:hAnsi="Garamond"/>
          <w:sz w:val="24"/>
          <w:szCs w:val="24"/>
        </w:rPr>
        <w:t xml:space="preserve"> in 201</w:t>
      </w:r>
      <w:r>
        <w:rPr>
          <w:rFonts w:ascii="Garamond" w:hAnsi="Garamond"/>
          <w:sz w:val="24"/>
          <w:szCs w:val="24"/>
        </w:rPr>
        <w:t>4</w:t>
      </w:r>
      <w:r w:rsidRPr="0071455B">
        <w:rPr>
          <w:rFonts w:ascii="Garamond" w:hAnsi="Garamond"/>
          <w:sz w:val="24"/>
          <w:szCs w:val="24"/>
        </w:rPr>
        <w:t xml:space="preserve"> to 1</w:t>
      </w:r>
      <w:r>
        <w:rPr>
          <w:rFonts w:ascii="Garamond" w:hAnsi="Garamond"/>
          <w:sz w:val="24"/>
          <w:szCs w:val="24"/>
        </w:rPr>
        <w:t>26</w:t>
      </w:r>
      <w:r w:rsidRPr="0071455B">
        <w:rPr>
          <w:rFonts w:ascii="Garamond" w:hAnsi="Garamond"/>
          <w:sz w:val="24"/>
          <w:szCs w:val="24"/>
          <w:vertAlign w:val="superscript"/>
        </w:rPr>
        <w:t>th</w:t>
      </w:r>
      <w:r w:rsidRPr="0071455B">
        <w:rPr>
          <w:rFonts w:ascii="Garamond" w:hAnsi="Garamond"/>
          <w:sz w:val="24"/>
          <w:szCs w:val="24"/>
        </w:rPr>
        <w:t xml:space="preserve"> in 201</w:t>
      </w:r>
      <w:r>
        <w:rPr>
          <w:rFonts w:ascii="Garamond" w:hAnsi="Garamond"/>
          <w:sz w:val="24"/>
          <w:szCs w:val="24"/>
        </w:rPr>
        <w:t xml:space="preserve">6). </w:t>
      </w:r>
      <w:r w:rsidRPr="008973A2">
        <w:rPr>
          <w:rFonts w:ascii="Garamond" w:hAnsi="Garamond"/>
          <w:sz w:val="24"/>
          <w:szCs w:val="24"/>
          <w:lang w:val="en-GB"/>
        </w:rPr>
        <w:t>High logistics costs reduce the competitiveness of Ethiopian goods and services compared with its competitors</w:t>
      </w:r>
      <w:r>
        <w:rPr>
          <w:rFonts w:ascii="Garamond" w:hAnsi="Garamond"/>
          <w:sz w:val="24"/>
          <w:szCs w:val="24"/>
          <w:lang w:val="en-GB"/>
        </w:rPr>
        <w:t xml:space="preserve">. Cognizant of these problems, the government has initiated flagship programmes </w:t>
      </w:r>
      <w:r w:rsidRPr="00123A43">
        <w:rPr>
          <w:rFonts w:ascii="Garamond" w:hAnsi="Garamond"/>
          <w:sz w:val="24"/>
          <w:szCs w:val="24"/>
          <w:lang w:val="en-GB"/>
        </w:rPr>
        <w:t>to curb the multiple problems constraining the private sector</w:t>
      </w:r>
      <w:r>
        <w:rPr>
          <w:rFonts w:ascii="Garamond" w:hAnsi="Garamond"/>
          <w:sz w:val="24"/>
          <w:szCs w:val="24"/>
          <w:lang w:val="en-GB"/>
        </w:rPr>
        <w:t xml:space="preserve"> including </w:t>
      </w:r>
      <w:r w:rsidRPr="00123A43">
        <w:rPr>
          <w:rFonts w:ascii="Garamond" w:hAnsi="Garamond"/>
          <w:sz w:val="24"/>
          <w:szCs w:val="24"/>
        </w:rPr>
        <w:t>Ethio-Djibouti railway project</w:t>
      </w:r>
      <w:r>
        <w:rPr>
          <w:rFonts w:ascii="Garamond" w:hAnsi="Garamond"/>
          <w:sz w:val="24"/>
          <w:szCs w:val="24"/>
        </w:rPr>
        <w:t xml:space="preserve">, </w:t>
      </w:r>
      <w:r w:rsidRPr="00DE4B04">
        <w:rPr>
          <w:rFonts w:ascii="Garamond" w:hAnsi="Garamond"/>
          <w:sz w:val="24"/>
          <w:szCs w:val="24"/>
        </w:rPr>
        <w:t>integrated industrial development parks</w:t>
      </w:r>
      <w:r>
        <w:rPr>
          <w:rFonts w:ascii="Garamond" w:hAnsi="Garamond"/>
          <w:sz w:val="24"/>
          <w:szCs w:val="24"/>
        </w:rPr>
        <w:t xml:space="preserve">, and establishment of the </w:t>
      </w:r>
      <w:r w:rsidRPr="00123A43">
        <w:rPr>
          <w:rFonts w:ascii="Garamond" w:hAnsi="Garamond"/>
          <w:sz w:val="24"/>
          <w:szCs w:val="24"/>
        </w:rPr>
        <w:t>Ethiopian Industrial Parks Development Corporation (IPDC)</w:t>
      </w:r>
      <w:r>
        <w:rPr>
          <w:rFonts w:ascii="Garamond" w:hAnsi="Garamond"/>
          <w:sz w:val="24"/>
          <w:szCs w:val="24"/>
        </w:rPr>
        <w:t xml:space="preserve">. Rural transformation centers are also envisaged to accompany </w:t>
      </w:r>
      <w:r>
        <w:rPr>
          <w:rFonts w:ascii="Garamond" w:hAnsi="Garamond"/>
          <w:sz w:val="24"/>
          <w:szCs w:val="24"/>
        </w:rPr>
        <w:lastRenderedPageBreak/>
        <w:t xml:space="preserve">integrated industrial parks.  These grand initiatives are expected to attract private investment and boost private sector competitiveness. </w:t>
      </w:r>
    </w:p>
    <w:p w:rsidR="00C764A2" w:rsidRDefault="00C764A2" w:rsidP="00C764A2">
      <w:pPr>
        <w:autoSpaceDE w:val="0"/>
        <w:autoSpaceDN w:val="0"/>
        <w:adjustRightInd w:val="0"/>
        <w:spacing w:after="0" w:line="240" w:lineRule="auto"/>
        <w:jc w:val="both"/>
        <w:rPr>
          <w:rFonts w:ascii="Garamond" w:hAnsi="Garamond"/>
          <w:sz w:val="24"/>
          <w:szCs w:val="24"/>
        </w:rPr>
      </w:pPr>
    </w:p>
    <w:p w:rsidR="00C764A2" w:rsidRDefault="00C764A2" w:rsidP="00C764A2">
      <w:pPr>
        <w:autoSpaceDE w:val="0"/>
        <w:autoSpaceDN w:val="0"/>
        <w:adjustRightInd w:val="0"/>
        <w:spacing w:after="0" w:line="240" w:lineRule="auto"/>
        <w:jc w:val="both"/>
        <w:rPr>
          <w:rFonts w:ascii="Garamond" w:hAnsi="Garamond" w:cs="Garamond"/>
          <w:color w:val="000000"/>
          <w:sz w:val="24"/>
          <w:szCs w:val="24"/>
        </w:rPr>
      </w:pPr>
      <w:r>
        <w:rPr>
          <w:rFonts w:ascii="Garamond" w:hAnsi="Garamond"/>
          <w:sz w:val="24"/>
          <w:szCs w:val="24"/>
        </w:rPr>
        <w:t xml:space="preserve">Domestic resource mobilization effort is also hampered by illicit financial outflows. Studies indicate that the country loses on average USD 2.5 billion per year through illicit financial outflows. In particular, international trade through trade misinvoicing is a means of illicit financial outflows. </w:t>
      </w:r>
      <w:r w:rsidRPr="004E7E7D">
        <w:rPr>
          <w:rFonts w:ascii="Garamond" w:hAnsi="Garamond"/>
          <w:sz w:val="24"/>
          <w:szCs w:val="24"/>
        </w:rPr>
        <w:t xml:space="preserve">The volume of illicit financial </w:t>
      </w:r>
      <w:r>
        <w:rPr>
          <w:rFonts w:ascii="Garamond" w:hAnsi="Garamond"/>
          <w:sz w:val="24"/>
          <w:szCs w:val="24"/>
        </w:rPr>
        <w:t>out</w:t>
      </w:r>
      <w:r w:rsidRPr="004E7E7D">
        <w:rPr>
          <w:rFonts w:ascii="Garamond" w:hAnsi="Garamond"/>
          <w:sz w:val="24"/>
          <w:szCs w:val="24"/>
        </w:rPr>
        <w:t xml:space="preserve">flow </w:t>
      </w:r>
      <w:r>
        <w:rPr>
          <w:rFonts w:ascii="Garamond" w:hAnsi="Garamond"/>
          <w:sz w:val="24"/>
          <w:szCs w:val="24"/>
        </w:rPr>
        <w:t>through misinvoicing international trade transactions amounts to</w:t>
      </w:r>
      <w:r w:rsidRPr="004E7E7D">
        <w:rPr>
          <w:rFonts w:ascii="Garamond" w:hAnsi="Garamond"/>
          <w:sz w:val="24"/>
          <w:szCs w:val="24"/>
        </w:rPr>
        <w:t xml:space="preserve"> an average of USD 2 billion per </w:t>
      </w:r>
      <w:r>
        <w:rPr>
          <w:rFonts w:ascii="Garamond" w:hAnsi="Garamond"/>
          <w:sz w:val="24"/>
          <w:szCs w:val="24"/>
        </w:rPr>
        <w:t>year</w:t>
      </w:r>
      <w:r w:rsidRPr="004E7E7D">
        <w:rPr>
          <w:rFonts w:ascii="Garamond" w:hAnsi="Garamond"/>
          <w:sz w:val="24"/>
          <w:szCs w:val="24"/>
        </w:rPr>
        <w:t xml:space="preserve">. </w:t>
      </w:r>
      <w:r>
        <w:rPr>
          <w:rFonts w:ascii="Garamond" w:hAnsi="Garamond"/>
          <w:sz w:val="24"/>
          <w:szCs w:val="24"/>
        </w:rPr>
        <w:t xml:space="preserve">In particular, import trade misinvoicing has remained the main driver of illicit financial outflows, while export under-invoicing is less of a concern. </w:t>
      </w:r>
    </w:p>
    <w:p w:rsidR="00C764A2" w:rsidRDefault="00C764A2" w:rsidP="00C764A2">
      <w:pPr>
        <w:autoSpaceDE w:val="0"/>
        <w:autoSpaceDN w:val="0"/>
        <w:adjustRightInd w:val="0"/>
        <w:spacing w:after="0" w:line="240" w:lineRule="auto"/>
        <w:jc w:val="both"/>
        <w:rPr>
          <w:rFonts w:ascii="Garamond" w:hAnsi="Garamond" w:cs="Garamond"/>
          <w:color w:val="000000"/>
          <w:sz w:val="24"/>
          <w:szCs w:val="24"/>
        </w:rPr>
      </w:pPr>
    </w:p>
    <w:p w:rsidR="00C764A2" w:rsidRDefault="00C764A2" w:rsidP="00C764A2">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Both grants and loans are important sources of development finance for Ethiopia, but grants as a share of GDP has shown a declining trend. </w:t>
      </w:r>
      <w:r w:rsidR="000E4C22">
        <w:rPr>
          <w:rFonts w:ascii="Garamond" w:hAnsi="Garamond"/>
          <w:sz w:val="24"/>
          <w:szCs w:val="24"/>
        </w:rPr>
        <w:t>Both g</w:t>
      </w:r>
      <w:r w:rsidRPr="001F09D7">
        <w:rPr>
          <w:rFonts w:ascii="Garamond" w:hAnsi="Garamond"/>
          <w:sz w:val="24"/>
          <w:szCs w:val="24"/>
        </w:rPr>
        <w:t>rant commitment and disbursements declined</w:t>
      </w:r>
      <w:r>
        <w:rPr>
          <w:rFonts w:ascii="Garamond" w:hAnsi="Garamond"/>
          <w:sz w:val="24"/>
          <w:szCs w:val="24"/>
        </w:rPr>
        <w:t xml:space="preserve"> in recent years, while l</w:t>
      </w:r>
      <w:r w:rsidRPr="001F09D7">
        <w:rPr>
          <w:rFonts w:ascii="Garamond" w:hAnsi="Garamond"/>
          <w:sz w:val="24"/>
          <w:szCs w:val="24"/>
        </w:rPr>
        <w:t>oan commitment and disbursement improved,</w:t>
      </w:r>
      <w:r>
        <w:rPr>
          <w:rFonts w:ascii="Garamond" w:hAnsi="Garamond"/>
          <w:sz w:val="24"/>
          <w:szCs w:val="24"/>
        </w:rPr>
        <w:t xml:space="preserve"> but</w:t>
      </w:r>
      <w:r w:rsidRPr="001F09D7">
        <w:rPr>
          <w:rFonts w:ascii="Garamond" w:hAnsi="Garamond"/>
          <w:sz w:val="24"/>
          <w:szCs w:val="24"/>
        </w:rPr>
        <w:t xml:space="preserve"> the </w:t>
      </w:r>
      <w:r>
        <w:rPr>
          <w:rFonts w:ascii="Garamond" w:hAnsi="Garamond"/>
          <w:sz w:val="24"/>
          <w:szCs w:val="24"/>
        </w:rPr>
        <w:t xml:space="preserve">amount </w:t>
      </w:r>
      <w:r w:rsidRPr="001F09D7">
        <w:rPr>
          <w:rFonts w:ascii="Garamond" w:hAnsi="Garamond"/>
          <w:sz w:val="24"/>
          <w:szCs w:val="24"/>
        </w:rPr>
        <w:t>of loan disbursed fall short of commitment</w:t>
      </w:r>
      <w:r>
        <w:rPr>
          <w:rFonts w:ascii="Garamond" w:hAnsi="Garamond"/>
          <w:sz w:val="24"/>
          <w:szCs w:val="24"/>
        </w:rPr>
        <w:t xml:space="preserve">s, indicating pledges have not been translated into actions. </w:t>
      </w:r>
      <w:r w:rsidR="00080798">
        <w:rPr>
          <w:rFonts w:ascii="Garamond" w:hAnsi="Garamond"/>
          <w:sz w:val="24"/>
          <w:szCs w:val="24"/>
        </w:rPr>
        <w:t xml:space="preserve">Ethiopia’s </w:t>
      </w:r>
      <w:r w:rsidR="000E4C22" w:rsidRPr="00080798">
        <w:rPr>
          <w:rFonts w:ascii="Garamond" w:hAnsi="Garamond"/>
          <w:sz w:val="24"/>
          <w:szCs w:val="24"/>
        </w:rPr>
        <w:t>disbursement rates for</w:t>
      </w:r>
      <w:r w:rsidR="00080798" w:rsidRPr="00080798">
        <w:rPr>
          <w:rFonts w:ascii="Garamond" w:hAnsi="Garamond"/>
          <w:sz w:val="24"/>
          <w:szCs w:val="24"/>
        </w:rPr>
        <w:t xml:space="preserve"> grants and loans </w:t>
      </w:r>
      <w:r w:rsidR="000E4C22" w:rsidRPr="00080798">
        <w:rPr>
          <w:rFonts w:ascii="Garamond" w:hAnsi="Garamond"/>
          <w:sz w:val="24"/>
          <w:szCs w:val="24"/>
        </w:rPr>
        <w:t xml:space="preserve">have improved, from just </w:t>
      </w:r>
      <w:r w:rsidR="00080798" w:rsidRPr="00080798">
        <w:rPr>
          <w:rFonts w:ascii="Garamond" w:hAnsi="Garamond"/>
          <w:sz w:val="24"/>
          <w:szCs w:val="24"/>
        </w:rPr>
        <w:t xml:space="preserve">40 percent </w:t>
      </w:r>
      <w:r w:rsidR="000E4C22" w:rsidRPr="00080798">
        <w:rPr>
          <w:rFonts w:ascii="Garamond" w:hAnsi="Garamond"/>
          <w:sz w:val="24"/>
          <w:szCs w:val="24"/>
        </w:rPr>
        <w:t>of commitments in 2010</w:t>
      </w:r>
      <w:r w:rsidR="00080798" w:rsidRPr="00080798">
        <w:rPr>
          <w:rFonts w:ascii="Garamond" w:hAnsi="Garamond"/>
          <w:sz w:val="24"/>
          <w:szCs w:val="24"/>
        </w:rPr>
        <w:t>/11</w:t>
      </w:r>
      <w:r w:rsidR="000E4C22" w:rsidRPr="00080798">
        <w:rPr>
          <w:rFonts w:ascii="Garamond" w:hAnsi="Garamond"/>
          <w:sz w:val="24"/>
          <w:szCs w:val="24"/>
        </w:rPr>
        <w:t xml:space="preserve"> to </w:t>
      </w:r>
      <w:r w:rsidR="00080798" w:rsidRPr="00080798">
        <w:rPr>
          <w:rFonts w:ascii="Garamond" w:hAnsi="Garamond"/>
          <w:sz w:val="24"/>
          <w:szCs w:val="24"/>
        </w:rPr>
        <w:t xml:space="preserve">67 percent </w:t>
      </w:r>
      <w:r w:rsidR="000E4C22" w:rsidRPr="00080798">
        <w:rPr>
          <w:rFonts w:ascii="Garamond" w:hAnsi="Garamond"/>
          <w:sz w:val="24"/>
          <w:szCs w:val="24"/>
        </w:rPr>
        <w:t>in 201</w:t>
      </w:r>
      <w:r w:rsidR="00080798" w:rsidRPr="00080798">
        <w:rPr>
          <w:rFonts w:ascii="Garamond" w:hAnsi="Garamond"/>
          <w:sz w:val="24"/>
          <w:szCs w:val="24"/>
        </w:rPr>
        <w:t>5/16</w:t>
      </w:r>
      <w:r w:rsidR="000E4C22" w:rsidRPr="00080798">
        <w:rPr>
          <w:rFonts w:ascii="Garamond" w:hAnsi="Garamond"/>
          <w:sz w:val="24"/>
          <w:szCs w:val="24"/>
        </w:rPr>
        <w:t xml:space="preserve">. However, this still leaves </w:t>
      </w:r>
      <w:r w:rsidR="00080798" w:rsidRPr="00080798">
        <w:rPr>
          <w:rFonts w:ascii="Garamond" w:hAnsi="Garamond"/>
          <w:sz w:val="24"/>
          <w:szCs w:val="24"/>
        </w:rPr>
        <w:t xml:space="preserve">a 33 percent shortfall of </w:t>
      </w:r>
      <w:r w:rsidR="000E4C22" w:rsidRPr="00080798">
        <w:rPr>
          <w:rFonts w:ascii="Garamond" w:hAnsi="Garamond"/>
          <w:sz w:val="24"/>
          <w:szCs w:val="24"/>
        </w:rPr>
        <w:t>committed ODA that has not been used, due mainly to bottlenecks in the implementation of large infrastructure projects.</w:t>
      </w:r>
      <w:r w:rsidR="00506539">
        <w:rPr>
          <w:rFonts w:ascii="Garamond" w:hAnsi="Garamond"/>
          <w:sz w:val="24"/>
          <w:szCs w:val="24"/>
        </w:rPr>
        <w:t xml:space="preserve"> </w:t>
      </w:r>
      <w:r>
        <w:rPr>
          <w:rFonts w:ascii="Garamond" w:hAnsi="Garamond"/>
          <w:sz w:val="24"/>
          <w:szCs w:val="24"/>
        </w:rPr>
        <w:t xml:space="preserve">This adversely affects the country’s </w:t>
      </w:r>
      <w:r w:rsidRPr="00957578">
        <w:rPr>
          <w:rFonts w:ascii="Garamond" w:hAnsi="Garamond"/>
          <w:sz w:val="24"/>
          <w:szCs w:val="24"/>
        </w:rPr>
        <w:t xml:space="preserve">ability to repay </w:t>
      </w:r>
      <w:r>
        <w:rPr>
          <w:rFonts w:ascii="Garamond" w:hAnsi="Garamond"/>
          <w:sz w:val="24"/>
          <w:szCs w:val="24"/>
        </w:rPr>
        <w:t xml:space="preserve">its </w:t>
      </w:r>
      <w:r w:rsidRPr="00957578">
        <w:rPr>
          <w:rFonts w:ascii="Garamond" w:hAnsi="Garamond"/>
          <w:sz w:val="24"/>
          <w:szCs w:val="24"/>
        </w:rPr>
        <w:t>debt including the princip</w:t>
      </w:r>
      <w:r>
        <w:rPr>
          <w:rFonts w:ascii="Garamond" w:hAnsi="Garamond"/>
          <w:sz w:val="24"/>
          <w:szCs w:val="24"/>
        </w:rPr>
        <w:t>al</w:t>
      </w:r>
      <w:r w:rsidRPr="00957578">
        <w:rPr>
          <w:rFonts w:ascii="Garamond" w:hAnsi="Garamond"/>
          <w:sz w:val="24"/>
          <w:szCs w:val="24"/>
        </w:rPr>
        <w:t xml:space="preserve"> and</w:t>
      </w:r>
      <w:r>
        <w:rPr>
          <w:rFonts w:ascii="Garamond" w:hAnsi="Garamond"/>
          <w:sz w:val="24"/>
          <w:szCs w:val="24"/>
        </w:rPr>
        <w:t xml:space="preserve"> interest (i.e. debt servicing), which in turn, depends on export performance.</w:t>
      </w:r>
      <w:r w:rsidRPr="00FD67CA">
        <w:rPr>
          <w:rFonts w:ascii="Garamond" w:hAnsi="Garamond"/>
          <w:sz w:val="24"/>
          <w:szCs w:val="24"/>
        </w:rPr>
        <w:t xml:space="preserve"> </w:t>
      </w:r>
      <w:r>
        <w:rPr>
          <w:rFonts w:ascii="Garamond" w:hAnsi="Garamond"/>
          <w:sz w:val="24"/>
          <w:szCs w:val="24"/>
        </w:rPr>
        <w:t>The present value of external debt to exports has been projected to be out of the threshold value of debt sustainability. However, the ongoing investments in transportation, power and other infrastructure, if completed on time, are, expected to enhance export competitiveness of the country which would help boost its capacity to repay its debt.</w:t>
      </w:r>
      <w:r w:rsidRPr="00694838">
        <w:rPr>
          <w:rFonts w:ascii="Garamond" w:hAnsi="Garamond"/>
          <w:sz w:val="24"/>
          <w:szCs w:val="24"/>
        </w:rPr>
        <w:t xml:space="preserve"> </w:t>
      </w:r>
      <w:r>
        <w:rPr>
          <w:rFonts w:ascii="Garamond" w:hAnsi="Garamond"/>
          <w:sz w:val="24"/>
          <w:szCs w:val="24"/>
        </w:rPr>
        <w:t>Consultations with stakeholders indicate that there is a need to e</w:t>
      </w:r>
      <w:r w:rsidRPr="006115AD">
        <w:rPr>
          <w:rFonts w:ascii="Garamond" w:hAnsi="Garamond"/>
          <w:sz w:val="24"/>
          <w:szCs w:val="24"/>
        </w:rPr>
        <w:t xml:space="preserve">nsure effective utilization of </w:t>
      </w:r>
      <w:r>
        <w:rPr>
          <w:rFonts w:ascii="Garamond" w:hAnsi="Garamond"/>
          <w:sz w:val="24"/>
          <w:szCs w:val="24"/>
        </w:rPr>
        <w:t xml:space="preserve">external resources and </w:t>
      </w:r>
      <w:r w:rsidRPr="006115AD">
        <w:rPr>
          <w:rFonts w:ascii="Garamond" w:hAnsi="Garamond"/>
          <w:sz w:val="24"/>
          <w:szCs w:val="24"/>
        </w:rPr>
        <w:t>improv</w:t>
      </w:r>
      <w:r>
        <w:rPr>
          <w:rFonts w:ascii="Garamond" w:hAnsi="Garamond"/>
          <w:sz w:val="24"/>
          <w:szCs w:val="24"/>
        </w:rPr>
        <w:t>e</w:t>
      </w:r>
      <w:r w:rsidRPr="006115AD">
        <w:rPr>
          <w:rFonts w:ascii="Garamond" w:hAnsi="Garamond"/>
          <w:sz w:val="24"/>
          <w:szCs w:val="24"/>
        </w:rPr>
        <w:t xml:space="preserve"> project planning and management capacity to execute projects on time and </w:t>
      </w:r>
      <w:r>
        <w:rPr>
          <w:rFonts w:ascii="Garamond" w:hAnsi="Garamond"/>
          <w:sz w:val="24"/>
          <w:szCs w:val="24"/>
        </w:rPr>
        <w:t xml:space="preserve">with the required </w:t>
      </w:r>
      <w:r w:rsidRPr="006115AD">
        <w:rPr>
          <w:rFonts w:ascii="Garamond" w:hAnsi="Garamond"/>
          <w:sz w:val="24"/>
          <w:szCs w:val="24"/>
        </w:rPr>
        <w:t>quality.</w:t>
      </w:r>
    </w:p>
    <w:p w:rsidR="00C764A2" w:rsidRDefault="00C764A2" w:rsidP="00C764A2">
      <w:pPr>
        <w:autoSpaceDE w:val="0"/>
        <w:autoSpaceDN w:val="0"/>
        <w:adjustRightInd w:val="0"/>
        <w:spacing w:after="0" w:line="240" w:lineRule="auto"/>
        <w:jc w:val="both"/>
        <w:rPr>
          <w:rFonts w:ascii="Garamond" w:hAnsi="Garamond"/>
          <w:sz w:val="24"/>
          <w:szCs w:val="24"/>
        </w:rPr>
      </w:pPr>
    </w:p>
    <w:p w:rsidR="00C764A2" w:rsidRDefault="00C764A2" w:rsidP="00C764A2">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Despite robust economic growth in the past decades, </w:t>
      </w:r>
      <w:r w:rsidRPr="00463D22">
        <w:rPr>
          <w:rFonts w:ascii="Garamond" w:hAnsi="Garamond"/>
          <w:sz w:val="24"/>
          <w:szCs w:val="24"/>
        </w:rPr>
        <w:t>generating employment for the expanding labour force</w:t>
      </w:r>
      <w:r>
        <w:rPr>
          <w:rFonts w:ascii="Garamond" w:hAnsi="Garamond"/>
          <w:sz w:val="24"/>
          <w:szCs w:val="24"/>
        </w:rPr>
        <w:t xml:space="preserve"> has remained a challenge as reflected by high unemployment rate, especially in urban areas. Given the scale of unemployment in the country, a coordinated support is required to enhance youth employability through </w:t>
      </w:r>
      <w:r w:rsidRPr="00385801">
        <w:rPr>
          <w:rFonts w:ascii="Garamond" w:hAnsi="Garamond"/>
          <w:sz w:val="24"/>
          <w:szCs w:val="24"/>
        </w:rPr>
        <w:t>broad</w:t>
      </w:r>
      <w:r>
        <w:rPr>
          <w:rFonts w:ascii="Garamond" w:hAnsi="Garamond"/>
          <w:sz w:val="24"/>
          <w:szCs w:val="24"/>
        </w:rPr>
        <w:t>-</w:t>
      </w:r>
      <w:r w:rsidRPr="00385801">
        <w:rPr>
          <w:rFonts w:ascii="Garamond" w:hAnsi="Garamond"/>
          <w:sz w:val="24"/>
          <w:szCs w:val="24"/>
        </w:rPr>
        <w:t>based, inclusive, sustained</w:t>
      </w:r>
      <w:r>
        <w:rPr>
          <w:rFonts w:ascii="Garamond" w:hAnsi="Garamond"/>
          <w:sz w:val="24"/>
          <w:szCs w:val="24"/>
        </w:rPr>
        <w:t xml:space="preserve"> </w:t>
      </w:r>
      <w:r w:rsidRPr="00385801">
        <w:rPr>
          <w:rFonts w:ascii="Garamond" w:hAnsi="Garamond"/>
          <w:sz w:val="24"/>
          <w:szCs w:val="24"/>
        </w:rPr>
        <w:t>growth</w:t>
      </w:r>
      <w:r>
        <w:rPr>
          <w:rFonts w:ascii="Garamond" w:hAnsi="Garamond"/>
          <w:sz w:val="24"/>
          <w:szCs w:val="24"/>
        </w:rPr>
        <w:t xml:space="preserve">, and productive and decent jobs. This requires a combination of growth enhancing interventions and social protection programmes. In particular, support </w:t>
      </w:r>
      <w:r w:rsidR="00506539">
        <w:rPr>
          <w:rFonts w:ascii="Garamond" w:hAnsi="Garamond"/>
          <w:sz w:val="24"/>
          <w:szCs w:val="24"/>
        </w:rPr>
        <w:t xml:space="preserve">in </w:t>
      </w:r>
      <w:r>
        <w:rPr>
          <w:rFonts w:ascii="Garamond" w:hAnsi="Garamond"/>
          <w:sz w:val="24"/>
          <w:szCs w:val="24"/>
        </w:rPr>
        <w:t xml:space="preserve">the expansion and growth of SMEs could help address the growing unemployment in the country through targeted interventions such as providing a more organized and handholding support in multiple fronts in the areas of finance, technology support, and continuous entrepreneurship training. This calls for establishing a dedicated finance institution catering the needs </w:t>
      </w:r>
      <w:r w:rsidR="00506539">
        <w:rPr>
          <w:rFonts w:ascii="Garamond" w:hAnsi="Garamond"/>
          <w:sz w:val="24"/>
          <w:szCs w:val="24"/>
        </w:rPr>
        <w:t xml:space="preserve">of </w:t>
      </w:r>
      <w:r>
        <w:rPr>
          <w:rFonts w:ascii="Garamond" w:hAnsi="Garamond"/>
          <w:sz w:val="24"/>
          <w:szCs w:val="24"/>
        </w:rPr>
        <w:t xml:space="preserve">SMEs or establishing a dedicated window for SMEs within the existing finance institutions, especially in commercial banks and Development Bank of Ethiopia.   </w:t>
      </w:r>
    </w:p>
    <w:p w:rsidR="00C764A2" w:rsidRDefault="00C764A2" w:rsidP="00C764A2">
      <w:pPr>
        <w:autoSpaceDE w:val="0"/>
        <w:autoSpaceDN w:val="0"/>
        <w:adjustRightInd w:val="0"/>
        <w:spacing w:after="0" w:line="240" w:lineRule="auto"/>
        <w:jc w:val="both"/>
        <w:rPr>
          <w:rFonts w:ascii="Garamond" w:hAnsi="Garamond"/>
          <w:sz w:val="24"/>
          <w:szCs w:val="24"/>
        </w:rPr>
      </w:pPr>
    </w:p>
    <w:p w:rsidR="00C764A2" w:rsidRDefault="00C764A2" w:rsidP="00C764A2">
      <w:pPr>
        <w:spacing w:after="0" w:line="240" w:lineRule="auto"/>
        <w:jc w:val="both"/>
        <w:rPr>
          <w:rFonts w:ascii="Garamond" w:hAnsi="Garamond"/>
          <w:sz w:val="24"/>
          <w:szCs w:val="24"/>
        </w:rPr>
      </w:pPr>
      <w:r>
        <w:rPr>
          <w:rFonts w:ascii="Garamond" w:hAnsi="Garamond"/>
          <w:sz w:val="24"/>
          <w:szCs w:val="24"/>
        </w:rPr>
        <w:t>Overall, t</w:t>
      </w:r>
      <w:r w:rsidRPr="00610201">
        <w:rPr>
          <w:rFonts w:ascii="Garamond" w:hAnsi="Garamond"/>
          <w:sz w:val="24"/>
          <w:szCs w:val="24"/>
        </w:rPr>
        <w:t>he achievement</w:t>
      </w:r>
      <w:r>
        <w:rPr>
          <w:rFonts w:ascii="Garamond" w:hAnsi="Garamond"/>
          <w:sz w:val="24"/>
          <w:szCs w:val="24"/>
        </w:rPr>
        <w:t>s</w:t>
      </w:r>
      <w:r w:rsidRPr="00610201">
        <w:rPr>
          <w:rFonts w:ascii="Garamond" w:hAnsi="Garamond"/>
          <w:sz w:val="24"/>
          <w:szCs w:val="24"/>
        </w:rPr>
        <w:t xml:space="preserve"> of </w:t>
      </w:r>
      <w:r>
        <w:rPr>
          <w:rFonts w:ascii="Garamond" w:hAnsi="Garamond"/>
          <w:sz w:val="24"/>
          <w:szCs w:val="24"/>
        </w:rPr>
        <w:t xml:space="preserve">SDGs and GTP-II goals </w:t>
      </w:r>
      <w:r w:rsidRPr="00610201">
        <w:rPr>
          <w:rFonts w:ascii="Garamond" w:hAnsi="Garamond"/>
          <w:sz w:val="24"/>
          <w:szCs w:val="24"/>
        </w:rPr>
        <w:t xml:space="preserve">call for utilizing </w:t>
      </w:r>
      <w:r>
        <w:rPr>
          <w:rFonts w:ascii="Garamond" w:hAnsi="Garamond"/>
          <w:sz w:val="24"/>
          <w:szCs w:val="24"/>
        </w:rPr>
        <w:t>a</w:t>
      </w:r>
      <w:r w:rsidRPr="00610201">
        <w:rPr>
          <w:rFonts w:ascii="Garamond" w:hAnsi="Garamond"/>
          <w:sz w:val="24"/>
          <w:szCs w:val="24"/>
        </w:rPr>
        <w:t xml:space="preserve"> combination of multiple sources and instruments of finance. </w:t>
      </w:r>
      <w:r w:rsidRPr="00C86F93">
        <w:rPr>
          <w:rFonts w:ascii="Garamond" w:hAnsi="Garamond"/>
          <w:sz w:val="24"/>
          <w:szCs w:val="24"/>
        </w:rPr>
        <w:t xml:space="preserve">Considering the revenue trends and the increasingly grim outlook for </w:t>
      </w:r>
      <w:r>
        <w:rPr>
          <w:rFonts w:ascii="Garamond" w:hAnsi="Garamond"/>
          <w:sz w:val="24"/>
          <w:szCs w:val="24"/>
        </w:rPr>
        <w:t xml:space="preserve">external resource </w:t>
      </w:r>
      <w:r w:rsidRPr="00C86F93">
        <w:rPr>
          <w:rFonts w:ascii="Garamond" w:hAnsi="Garamond"/>
          <w:sz w:val="24"/>
          <w:szCs w:val="24"/>
        </w:rPr>
        <w:t xml:space="preserve">inflows, </w:t>
      </w:r>
      <w:r>
        <w:rPr>
          <w:rFonts w:ascii="Garamond" w:hAnsi="Garamond"/>
          <w:sz w:val="24"/>
          <w:szCs w:val="24"/>
        </w:rPr>
        <w:t xml:space="preserve">there is a need to look for </w:t>
      </w:r>
      <w:r w:rsidRPr="00C86F93">
        <w:rPr>
          <w:rFonts w:ascii="Garamond" w:hAnsi="Garamond"/>
          <w:sz w:val="24"/>
          <w:szCs w:val="24"/>
        </w:rPr>
        <w:t xml:space="preserve">availability of potential </w:t>
      </w:r>
      <w:r>
        <w:rPr>
          <w:rFonts w:ascii="Garamond" w:hAnsi="Garamond"/>
          <w:sz w:val="24"/>
          <w:szCs w:val="24"/>
        </w:rPr>
        <w:t>‘</w:t>
      </w:r>
      <w:r w:rsidRPr="00C86F93">
        <w:rPr>
          <w:rFonts w:ascii="Garamond" w:hAnsi="Garamond"/>
          <w:sz w:val="24"/>
          <w:szCs w:val="24"/>
        </w:rPr>
        <w:t>non-traditional</w:t>
      </w:r>
      <w:r>
        <w:rPr>
          <w:rFonts w:ascii="Garamond" w:hAnsi="Garamond"/>
          <w:sz w:val="24"/>
          <w:szCs w:val="24"/>
        </w:rPr>
        <w:t>’</w:t>
      </w:r>
      <w:r w:rsidRPr="00C86F93">
        <w:rPr>
          <w:rFonts w:ascii="Garamond" w:hAnsi="Garamond"/>
          <w:sz w:val="24"/>
          <w:szCs w:val="24"/>
        </w:rPr>
        <w:t xml:space="preserve"> </w:t>
      </w:r>
      <w:r>
        <w:rPr>
          <w:rFonts w:ascii="Garamond" w:hAnsi="Garamond"/>
          <w:sz w:val="24"/>
          <w:szCs w:val="24"/>
        </w:rPr>
        <w:t xml:space="preserve">financial </w:t>
      </w:r>
      <w:r w:rsidRPr="00C86F93">
        <w:rPr>
          <w:rFonts w:ascii="Garamond" w:hAnsi="Garamond"/>
          <w:sz w:val="24"/>
          <w:szCs w:val="24"/>
        </w:rPr>
        <w:t xml:space="preserve">resources that will help Ethiopia sustainably finance </w:t>
      </w:r>
      <w:r>
        <w:rPr>
          <w:rFonts w:ascii="Garamond" w:hAnsi="Garamond"/>
          <w:sz w:val="24"/>
          <w:szCs w:val="24"/>
        </w:rPr>
        <w:t xml:space="preserve">its </w:t>
      </w:r>
      <w:r w:rsidRPr="00C86F93">
        <w:rPr>
          <w:rFonts w:ascii="Garamond" w:hAnsi="Garamond"/>
          <w:sz w:val="24"/>
          <w:szCs w:val="24"/>
        </w:rPr>
        <w:t xml:space="preserve">development </w:t>
      </w:r>
      <w:r>
        <w:rPr>
          <w:rFonts w:ascii="Garamond" w:hAnsi="Garamond"/>
          <w:sz w:val="24"/>
          <w:szCs w:val="24"/>
        </w:rPr>
        <w:t>interventions</w:t>
      </w:r>
      <w:r w:rsidRPr="00C86F93">
        <w:rPr>
          <w:rFonts w:ascii="Garamond" w:hAnsi="Garamond"/>
          <w:sz w:val="24"/>
          <w:szCs w:val="24"/>
        </w:rPr>
        <w:t xml:space="preserve">. </w:t>
      </w:r>
      <w:r>
        <w:rPr>
          <w:rFonts w:ascii="Garamond" w:hAnsi="Garamond"/>
          <w:sz w:val="24"/>
          <w:szCs w:val="24"/>
        </w:rPr>
        <w:t xml:space="preserve">Additional financial resources can be tapped from climate funds (e.g. Green climate fund and adaptation fund), Diaspora bonds and social impact bonds, health and pension funds, public-private partnerships, charities and private foundations, and </w:t>
      </w:r>
      <w:r w:rsidRPr="00E55F3F">
        <w:rPr>
          <w:rFonts w:ascii="Garamond" w:hAnsi="Garamond"/>
          <w:sz w:val="24"/>
          <w:szCs w:val="24"/>
        </w:rPr>
        <w:t>South-South cooperation</w:t>
      </w:r>
      <w:r>
        <w:rPr>
          <w:rFonts w:ascii="Garamond" w:hAnsi="Garamond"/>
          <w:sz w:val="24"/>
          <w:szCs w:val="24"/>
        </w:rPr>
        <w:t xml:space="preserve"> (focusing on non-traditional development partners-China, India, Turkey, Brazil and countries in the Middle East). Among the list of non-traditional sources of finance, </w:t>
      </w:r>
      <w:r w:rsidRPr="00835932">
        <w:rPr>
          <w:rFonts w:ascii="Garamond" w:hAnsi="Garamond"/>
          <w:sz w:val="24"/>
          <w:szCs w:val="24"/>
        </w:rPr>
        <w:t xml:space="preserve">Diaspora </w:t>
      </w:r>
      <w:r>
        <w:rPr>
          <w:rFonts w:ascii="Garamond" w:hAnsi="Garamond"/>
          <w:sz w:val="24"/>
          <w:szCs w:val="24"/>
        </w:rPr>
        <w:t xml:space="preserve">and Social impact </w:t>
      </w:r>
      <w:r w:rsidRPr="00835932">
        <w:rPr>
          <w:rFonts w:ascii="Garamond" w:hAnsi="Garamond"/>
          <w:sz w:val="24"/>
          <w:szCs w:val="24"/>
        </w:rPr>
        <w:t>bond</w:t>
      </w:r>
      <w:r>
        <w:rPr>
          <w:rFonts w:ascii="Garamond" w:hAnsi="Garamond"/>
          <w:sz w:val="24"/>
          <w:szCs w:val="24"/>
        </w:rPr>
        <w:t>s</w:t>
      </w:r>
      <w:r w:rsidRPr="00835932">
        <w:rPr>
          <w:rFonts w:ascii="Garamond" w:hAnsi="Garamond"/>
          <w:sz w:val="24"/>
          <w:szCs w:val="24"/>
        </w:rPr>
        <w:t xml:space="preserve">, South-South cooperation and public-private partnership have </w:t>
      </w:r>
      <w:r>
        <w:rPr>
          <w:rFonts w:ascii="Garamond" w:hAnsi="Garamond"/>
          <w:sz w:val="24"/>
          <w:szCs w:val="24"/>
        </w:rPr>
        <w:t xml:space="preserve">high </w:t>
      </w:r>
      <w:r w:rsidRPr="00835932">
        <w:rPr>
          <w:rFonts w:ascii="Garamond" w:hAnsi="Garamond"/>
          <w:sz w:val="24"/>
          <w:szCs w:val="24"/>
        </w:rPr>
        <w:t xml:space="preserve">prospects to raise </w:t>
      </w:r>
      <w:r w:rsidRPr="00835932">
        <w:rPr>
          <w:rFonts w:ascii="Garamond" w:hAnsi="Garamond"/>
          <w:sz w:val="24"/>
          <w:szCs w:val="24"/>
        </w:rPr>
        <w:lastRenderedPageBreak/>
        <w:t xml:space="preserve">significant amount of </w:t>
      </w:r>
      <w:r>
        <w:rPr>
          <w:rFonts w:ascii="Garamond" w:hAnsi="Garamond"/>
          <w:sz w:val="24"/>
          <w:szCs w:val="24"/>
        </w:rPr>
        <w:t xml:space="preserve">sustainable </w:t>
      </w:r>
      <w:r w:rsidRPr="00835932">
        <w:rPr>
          <w:rFonts w:ascii="Garamond" w:hAnsi="Garamond"/>
          <w:sz w:val="24"/>
          <w:szCs w:val="24"/>
        </w:rPr>
        <w:t>finance.</w:t>
      </w:r>
      <w:r>
        <w:rPr>
          <w:szCs w:val="24"/>
        </w:rPr>
        <w:t xml:space="preserve"> </w:t>
      </w:r>
      <w:r w:rsidRPr="00BB1E21">
        <w:rPr>
          <w:rFonts w:ascii="Garamond" w:hAnsi="Garamond"/>
          <w:sz w:val="24"/>
          <w:szCs w:val="24"/>
        </w:rPr>
        <w:t>Other sources</w:t>
      </w:r>
      <w:r>
        <w:rPr>
          <w:szCs w:val="24"/>
        </w:rPr>
        <w:t xml:space="preserve"> </w:t>
      </w:r>
      <w:r w:rsidRPr="00BB1E21">
        <w:rPr>
          <w:rFonts w:ascii="Garamond" w:hAnsi="Garamond"/>
          <w:sz w:val="24"/>
          <w:szCs w:val="24"/>
        </w:rPr>
        <w:t xml:space="preserve">such as blending </w:t>
      </w:r>
      <w:r>
        <w:rPr>
          <w:rFonts w:ascii="Garamond" w:hAnsi="Garamond"/>
          <w:sz w:val="24"/>
          <w:szCs w:val="24"/>
        </w:rPr>
        <w:t>a</w:t>
      </w:r>
      <w:r w:rsidRPr="00BB1E21">
        <w:rPr>
          <w:rFonts w:ascii="Garamond" w:hAnsi="Garamond"/>
          <w:sz w:val="24"/>
          <w:szCs w:val="24"/>
        </w:rPr>
        <w:t>rrangements</w:t>
      </w:r>
      <w:r>
        <w:rPr>
          <w:rFonts w:ascii="Garamond" w:hAnsi="Garamond"/>
          <w:sz w:val="24"/>
          <w:szCs w:val="24"/>
        </w:rPr>
        <w:t xml:space="preserve">, </w:t>
      </w:r>
      <w:r w:rsidRPr="00BB1E21">
        <w:rPr>
          <w:rFonts w:ascii="Garamond" w:hAnsi="Garamond"/>
          <w:sz w:val="24"/>
          <w:szCs w:val="24"/>
        </w:rPr>
        <w:t>external borrowing</w:t>
      </w:r>
      <w:r>
        <w:rPr>
          <w:rFonts w:ascii="Garamond" w:hAnsi="Garamond"/>
          <w:sz w:val="24"/>
          <w:szCs w:val="24"/>
        </w:rPr>
        <w:t xml:space="preserve">, and insurance and pension funds can also hold promise of generating development finance, especially in the short and medium-term.   </w:t>
      </w:r>
      <w:r w:rsidRPr="00BB1E21">
        <w:rPr>
          <w:rFonts w:ascii="Garamond" w:hAnsi="Garamond"/>
          <w:sz w:val="24"/>
          <w:szCs w:val="24"/>
        </w:rPr>
        <w:t xml:space="preserve"> </w:t>
      </w:r>
    </w:p>
    <w:p w:rsidR="00C764A2" w:rsidRDefault="00C764A2" w:rsidP="00C764A2">
      <w:pPr>
        <w:shd w:val="clear" w:color="auto" w:fill="FFFFFF"/>
        <w:spacing w:after="0" w:line="240" w:lineRule="auto"/>
        <w:jc w:val="both"/>
        <w:rPr>
          <w:rFonts w:ascii="Garamond" w:hAnsi="Garamond" w:cs="Times"/>
          <w:sz w:val="24"/>
          <w:szCs w:val="24"/>
        </w:rPr>
      </w:pPr>
    </w:p>
    <w:p w:rsidR="00C764A2" w:rsidRDefault="00C764A2" w:rsidP="00C764A2">
      <w:pPr>
        <w:shd w:val="clear" w:color="auto" w:fill="FFFFFF"/>
        <w:spacing w:after="0" w:line="240" w:lineRule="auto"/>
        <w:jc w:val="both"/>
        <w:rPr>
          <w:rFonts w:ascii="Garamond" w:hAnsi="Garamond" w:cs="Times"/>
          <w:sz w:val="24"/>
          <w:szCs w:val="24"/>
        </w:rPr>
      </w:pPr>
      <w:r>
        <w:rPr>
          <w:rFonts w:ascii="Garamond" w:hAnsi="Garamond" w:cs="Times"/>
          <w:sz w:val="24"/>
          <w:szCs w:val="24"/>
        </w:rPr>
        <w:t xml:space="preserve">Based on detailed analysis of the different dimensions of the Addis Ababa Action Agenda, the national context, and regional and global perspectives, key priority areas has been identified which are grouped into two categories: Core and cross-cutting issues. These priority areas are building blocks of implementing the AAAA roadmap to achieve GTP-II and SDGs objectives. The core priority areas are anchored in five dimensions, while the cross-cutting issues are built around </w:t>
      </w:r>
      <w:r w:rsidR="0022259A">
        <w:rPr>
          <w:rFonts w:ascii="Garamond" w:hAnsi="Garamond" w:cs="Times"/>
          <w:sz w:val="24"/>
          <w:szCs w:val="24"/>
        </w:rPr>
        <w:t xml:space="preserve">three </w:t>
      </w:r>
      <w:r>
        <w:rPr>
          <w:rFonts w:ascii="Garamond" w:hAnsi="Garamond" w:cs="Times"/>
          <w:sz w:val="24"/>
          <w:szCs w:val="24"/>
        </w:rPr>
        <w:t xml:space="preserve">dimensions. </w:t>
      </w:r>
      <w:r w:rsidRPr="003F6F7C">
        <w:rPr>
          <w:rFonts w:ascii="Garamond" w:hAnsi="Garamond" w:cs="Times"/>
          <w:sz w:val="24"/>
          <w:szCs w:val="24"/>
        </w:rPr>
        <w:t xml:space="preserve">The individual </w:t>
      </w:r>
      <w:r>
        <w:rPr>
          <w:rFonts w:ascii="Garamond" w:hAnsi="Garamond" w:cs="Times"/>
          <w:sz w:val="24"/>
          <w:szCs w:val="24"/>
        </w:rPr>
        <w:t xml:space="preserve">dimensions that </w:t>
      </w:r>
      <w:r w:rsidRPr="003F6F7C">
        <w:rPr>
          <w:rFonts w:ascii="Garamond" w:hAnsi="Garamond" w:cs="Times"/>
          <w:sz w:val="24"/>
          <w:szCs w:val="24"/>
        </w:rPr>
        <w:t xml:space="preserve">make up this roadmap are </w:t>
      </w:r>
      <w:r>
        <w:rPr>
          <w:rFonts w:ascii="Garamond" w:hAnsi="Garamond" w:cs="Times"/>
          <w:sz w:val="24"/>
          <w:szCs w:val="24"/>
        </w:rPr>
        <w:t xml:space="preserve">also supported by a matrix of interventions as well as monitoring and reporting mechanism. </w:t>
      </w:r>
    </w:p>
    <w:p w:rsidR="00C764A2" w:rsidRDefault="00C764A2" w:rsidP="00C764A2">
      <w:pPr>
        <w:shd w:val="clear" w:color="auto" w:fill="FFFFFF"/>
        <w:spacing w:after="0" w:line="240" w:lineRule="auto"/>
        <w:jc w:val="both"/>
        <w:rPr>
          <w:rFonts w:ascii="Garamond" w:hAnsi="Garamond" w:cs="Times"/>
          <w:sz w:val="24"/>
          <w:szCs w:val="24"/>
        </w:rPr>
      </w:pPr>
    </w:p>
    <w:p w:rsidR="00C764A2" w:rsidRDefault="00C764A2" w:rsidP="00C764A2">
      <w:pPr>
        <w:shd w:val="clear" w:color="auto" w:fill="FFFFFF"/>
        <w:spacing w:after="0" w:line="240" w:lineRule="auto"/>
        <w:jc w:val="both"/>
        <w:rPr>
          <w:rFonts w:ascii="Garamond" w:hAnsi="Garamond" w:cs="Times"/>
          <w:b/>
        </w:rPr>
      </w:pPr>
      <w:r w:rsidRPr="0096395D">
        <w:rPr>
          <w:rFonts w:ascii="Garamond" w:hAnsi="Garamond" w:cs="Times"/>
          <w:b/>
        </w:rPr>
        <w:t xml:space="preserve">Figure E.1: Dimensions of the roadmap </w:t>
      </w:r>
    </w:p>
    <w:p w:rsidR="0022259A" w:rsidRDefault="0022259A" w:rsidP="00C764A2">
      <w:pPr>
        <w:shd w:val="clear" w:color="auto" w:fill="FFFFFF"/>
        <w:spacing w:after="0" w:line="240" w:lineRule="auto"/>
        <w:jc w:val="both"/>
        <w:rPr>
          <w:rFonts w:ascii="Garamond" w:hAnsi="Garamond" w:cs="Times"/>
          <w:b/>
        </w:rPr>
      </w:pPr>
      <w:r w:rsidRPr="0022259A">
        <w:rPr>
          <w:rFonts w:ascii="Garamond" w:hAnsi="Garamond" w:cs="Times"/>
          <w:b/>
          <w:noProof/>
        </w:rPr>
        <w:drawing>
          <wp:inline distT="0" distB="0" distL="0" distR="0">
            <wp:extent cx="5943600" cy="33426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43600" cy="3342640"/>
                    </a:xfrm>
                    <a:prstGeom prst="rect">
                      <a:avLst/>
                    </a:prstGeom>
                  </pic:spPr>
                </pic:pic>
              </a:graphicData>
            </a:graphic>
          </wp:inline>
        </w:drawing>
      </w:r>
    </w:p>
    <w:p w:rsidR="00C764A2" w:rsidRDefault="00C764A2" w:rsidP="00C764A2">
      <w:pPr>
        <w:spacing w:after="0" w:line="240" w:lineRule="auto"/>
        <w:jc w:val="both"/>
        <w:rPr>
          <w:rFonts w:ascii="Garamond" w:hAnsi="Garamond"/>
          <w:sz w:val="24"/>
          <w:szCs w:val="24"/>
        </w:rPr>
      </w:pPr>
    </w:p>
    <w:p w:rsidR="00C764A2" w:rsidRDefault="00C764A2" w:rsidP="00C764A2">
      <w:pPr>
        <w:spacing w:after="0" w:line="240" w:lineRule="auto"/>
        <w:jc w:val="both"/>
        <w:rPr>
          <w:rFonts w:ascii="Garamond" w:hAnsi="Garamond"/>
          <w:sz w:val="24"/>
          <w:szCs w:val="24"/>
        </w:rPr>
      </w:pPr>
      <w:r w:rsidRPr="002D2F4D">
        <w:rPr>
          <w:rFonts w:ascii="Garamond" w:hAnsi="Garamond"/>
          <w:sz w:val="24"/>
          <w:szCs w:val="24"/>
        </w:rPr>
        <w:t xml:space="preserve">The </w:t>
      </w:r>
      <w:r>
        <w:rPr>
          <w:rFonts w:ascii="Garamond" w:hAnsi="Garamond"/>
          <w:sz w:val="24"/>
          <w:szCs w:val="24"/>
        </w:rPr>
        <w:t xml:space="preserve">details of </w:t>
      </w:r>
      <w:r w:rsidRPr="002D2F4D">
        <w:rPr>
          <w:rFonts w:ascii="Garamond" w:hAnsi="Garamond"/>
          <w:sz w:val="24"/>
          <w:szCs w:val="24"/>
        </w:rPr>
        <w:t xml:space="preserve">individual </w:t>
      </w:r>
      <w:r>
        <w:rPr>
          <w:rFonts w:ascii="Garamond" w:hAnsi="Garamond"/>
          <w:sz w:val="24"/>
          <w:szCs w:val="24"/>
        </w:rPr>
        <w:t xml:space="preserve">dimensions </w:t>
      </w:r>
      <w:r w:rsidRPr="002D2F4D">
        <w:rPr>
          <w:rFonts w:ascii="Garamond" w:hAnsi="Garamond"/>
          <w:sz w:val="24"/>
          <w:szCs w:val="24"/>
        </w:rPr>
        <w:t xml:space="preserve">that make up this roadmap are grouped around the following </w:t>
      </w:r>
      <w:r>
        <w:rPr>
          <w:rFonts w:ascii="Garamond" w:hAnsi="Garamond"/>
          <w:sz w:val="24"/>
          <w:szCs w:val="24"/>
        </w:rPr>
        <w:t xml:space="preserve">components. </w:t>
      </w:r>
    </w:p>
    <w:p w:rsidR="00C764A2" w:rsidRPr="00696B68" w:rsidRDefault="00C764A2" w:rsidP="00C764A2">
      <w:pPr>
        <w:pStyle w:val="ListParagraph"/>
        <w:numPr>
          <w:ilvl w:val="0"/>
          <w:numId w:val="43"/>
        </w:numPr>
        <w:spacing w:after="0" w:line="240" w:lineRule="auto"/>
        <w:jc w:val="both"/>
        <w:rPr>
          <w:rFonts w:ascii="Garamond" w:hAnsi="Garamond"/>
          <w:b/>
          <w:bCs/>
          <w:sz w:val="24"/>
          <w:szCs w:val="24"/>
        </w:rPr>
      </w:pPr>
      <w:r w:rsidRPr="00696B68">
        <w:rPr>
          <w:rFonts w:ascii="Garamond" w:hAnsi="Garamond"/>
          <w:b/>
          <w:bCs/>
          <w:sz w:val="24"/>
          <w:szCs w:val="24"/>
        </w:rPr>
        <w:t>Core priority areas</w:t>
      </w:r>
    </w:p>
    <w:p w:rsidR="00C764A2" w:rsidRDefault="00C764A2" w:rsidP="00C764A2">
      <w:pPr>
        <w:spacing w:after="0" w:line="240" w:lineRule="auto"/>
        <w:jc w:val="both"/>
        <w:rPr>
          <w:rFonts w:ascii="Garamond" w:hAnsi="Garamond"/>
          <w:bCs/>
          <w:sz w:val="24"/>
          <w:szCs w:val="24"/>
        </w:rPr>
      </w:pPr>
      <w:r w:rsidRPr="00D33471">
        <w:rPr>
          <w:rFonts w:ascii="Garamond" w:hAnsi="Garamond"/>
          <w:b/>
          <w:bCs/>
          <w:sz w:val="24"/>
          <w:szCs w:val="24"/>
        </w:rPr>
        <w:t>Component 1: Enhance domestic resource mobilization</w:t>
      </w:r>
      <w:r>
        <w:rPr>
          <w:rFonts w:ascii="Garamond" w:hAnsi="Garamond"/>
          <w:b/>
          <w:bCs/>
          <w:sz w:val="24"/>
          <w:szCs w:val="24"/>
        </w:rPr>
        <w:t xml:space="preserve">: </w:t>
      </w:r>
      <w:r w:rsidRPr="00BE29D1">
        <w:rPr>
          <w:rFonts w:ascii="Garamond" w:hAnsi="Garamond"/>
          <w:bCs/>
          <w:sz w:val="24"/>
          <w:szCs w:val="24"/>
        </w:rPr>
        <w:t xml:space="preserve">Included in this components are </w:t>
      </w:r>
      <w:r>
        <w:rPr>
          <w:rFonts w:ascii="Garamond" w:hAnsi="Garamond"/>
          <w:bCs/>
          <w:sz w:val="24"/>
          <w:szCs w:val="24"/>
        </w:rPr>
        <w:t xml:space="preserve">enhancing domestic saving including both private and government savings through various instruments, raising domestic revenue through broaden the tax base, increase the tax coverage, reduce the costs of paying taxes and improve the enabling environment, introduce capital markets, and promote public-private partnerships (PPPs).   </w:t>
      </w:r>
    </w:p>
    <w:p w:rsidR="00C764A2" w:rsidRDefault="00C764A2" w:rsidP="00C764A2">
      <w:pPr>
        <w:spacing w:after="0" w:line="240" w:lineRule="auto"/>
        <w:jc w:val="both"/>
        <w:rPr>
          <w:rFonts w:ascii="Garamond" w:hAnsi="Garamond"/>
          <w:bCs/>
          <w:sz w:val="24"/>
          <w:szCs w:val="24"/>
        </w:rPr>
      </w:pPr>
    </w:p>
    <w:p w:rsidR="00C764A2" w:rsidRPr="00D33471" w:rsidRDefault="00C764A2" w:rsidP="00C764A2">
      <w:pPr>
        <w:shd w:val="clear" w:color="auto" w:fill="FFFFFF"/>
        <w:spacing w:after="0" w:line="240" w:lineRule="auto"/>
        <w:jc w:val="both"/>
        <w:rPr>
          <w:rFonts w:ascii="Garamond" w:hAnsi="Garamond"/>
          <w:sz w:val="24"/>
          <w:szCs w:val="24"/>
        </w:rPr>
      </w:pPr>
      <w:r w:rsidRPr="00D33471">
        <w:rPr>
          <w:rFonts w:ascii="Garamond" w:hAnsi="Garamond"/>
          <w:b/>
          <w:bCs/>
          <w:sz w:val="24"/>
          <w:szCs w:val="24"/>
        </w:rPr>
        <w:t>Component 2: Attract international private business and finance</w:t>
      </w:r>
      <w:r>
        <w:rPr>
          <w:rFonts w:ascii="Garamond" w:hAnsi="Garamond"/>
          <w:b/>
          <w:bCs/>
          <w:sz w:val="24"/>
          <w:szCs w:val="24"/>
        </w:rPr>
        <w:t>:</w:t>
      </w:r>
      <w:r w:rsidRPr="00D33471">
        <w:rPr>
          <w:rFonts w:ascii="Garamond" w:hAnsi="Garamond"/>
          <w:b/>
          <w:bCs/>
          <w:sz w:val="24"/>
          <w:szCs w:val="24"/>
        </w:rPr>
        <w:t xml:space="preserve"> </w:t>
      </w:r>
      <w:r w:rsidRPr="00D33471">
        <w:rPr>
          <w:rFonts w:ascii="Garamond" w:hAnsi="Garamond"/>
          <w:bCs/>
          <w:sz w:val="24"/>
          <w:szCs w:val="24"/>
        </w:rPr>
        <w:t>with a focus on</w:t>
      </w:r>
      <w:r w:rsidRPr="00D33471">
        <w:rPr>
          <w:rFonts w:ascii="Garamond" w:hAnsi="Garamond"/>
          <w:b/>
          <w:bCs/>
          <w:sz w:val="24"/>
          <w:szCs w:val="24"/>
        </w:rPr>
        <w:t xml:space="preserve"> </w:t>
      </w:r>
      <w:r w:rsidRPr="00D33471">
        <w:rPr>
          <w:rFonts w:ascii="Garamond" w:hAnsi="Garamond"/>
          <w:bCs/>
          <w:sz w:val="24"/>
          <w:szCs w:val="24"/>
        </w:rPr>
        <w:t xml:space="preserve">remittances and foreign direct investment (FDI). International remittances inflow can be facilitated by encouraging and allowing other institutions, such as post offices, cooperatives, microfinance institutions, or possibly telecom operators to play a larger role in money transfers and opening up bank branches or money transfer agents in areas where there is large concentration of Ethiopian </w:t>
      </w:r>
      <w:r w:rsidRPr="00D33471">
        <w:rPr>
          <w:rFonts w:ascii="Garamond" w:hAnsi="Garamond"/>
          <w:bCs/>
          <w:sz w:val="24"/>
          <w:szCs w:val="24"/>
        </w:rPr>
        <w:lastRenderedPageBreak/>
        <w:t xml:space="preserve">Diaspora, with certain incentives to reduce transfer fees. In addition to general improvement in business climate, strategic FDI marketing should specify concrete target countries and even companies for enhancing FDI diversification across countries and sectors. </w:t>
      </w:r>
      <w:r w:rsidRPr="00D33471">
        <w:rPr>
          <w:rFonts w:ascii="Garamond" w:hAnsi="Garamond"/>
          <w:sz w:val="24"/>
          <w:szCs w:val="24"/>
        </w:rPr>
        <w:t xml:space="preserve">Fiscal incentives (such as tax exemptions and holidays) need to be attached to performance and monitored and evaluated on regular basis to ease fiscal burden on the government. </w:t>
      </w:r>
    </w:p>
    <w:p w:rsidR="00C764A2" w:rsidRPr="006C2CC7" w:rsidRDefault="00C764A2" w:rsidP="00C764A2">
      <w:pPr>
        <w:pStyle w:val="ListParagraph"/>
        <w:tabs>
          <w:tab w:val="num" w:pos="720"/>
        </w:tabs>
        <w:spacing w:after="0" w:line="240" w:lineRule="auto"/>
        <w:jc w:val="both"/>
        <w:rPr>
          <w:rFonts w:ascii="Garamond" w:hAnsi="Garamond"/>
          <w:bCs/>
          <w:sz w:val="24"/>
          <w:szCs w:val="24"/>
        </w:rPr>
      </w:pPr>
    </w:p>
    <w:p w:rsidR="00C764A2" w:rsidRDefault="00C764A2" w:rsidP="00C764A2">
      <w:pPr>
        <w:spacing w:after="0" w:line="240" w:lineRule="auto"/>
        <w:jc w:val="both"/>
        <w:rPr>
          <w:rFonts w:ascii="Garamond" w:hAnsi="Garamond"/>
          <w:sz w:val="24"/>
          <w:szCs w:val="24"/>
        </w:rPr>
      </w:pPr>
      <w:r w:rsidRPr="00D33471">
        <w:rPr>
          <w:rFonts w:ascii="Garamond" w:hAnsi="Garamond"/>
          <w:b/>
          <w:bCs/>
          <w:sz w:val="24"/>
          <w:szCs w:val="24"/>
        </w:rPr>
        <w:t>Component 3: Maximizing</w:t>
      </w:r>
      <w:r>
        <w:rPr>
          <w:rFonts w:ascii="Garamond" w:hAnsi="Garamond"/>
          <w:b/>
          <w:bCs/>
          <w:sz w:val="24"/>
          <w:szCs w:val="24"/>
        </w:rPr>
        <w:t xml:space="preserve"> ODA through enhanced cooperation:</w:t>
      </w:r>
      <w:r w:rsidRPr="00D33471">
        <w:rPr>
          <w:rFonts w:ascii="Garamond" w:hAnsi="Garamond"/>
          <w:bCs/>
          <w:sz w:val="24"/>
          <w:szCs w:val="24"/>
        </w:rPr>
        <w:t xml:space="preserve"> </w:t>
      </w:r>
      <w:r w:rsidRPr="0006603C">
        <w:rPr>
          <w:rFonts w:ascii="Garamond" w:hAnsi="Garamond"/>
          <w:sz w:val="24"/>
          <w:szCs w:val="24"/>
        </w:rPr>
        <w:t xml:space="preserve">Grants and loans tend to be volatile and pro-cyclical, as reflected by gaps between pledges and actual disbursements. </w:t>
      </w:r>
      <w:r>
        <w:rPr>
          <w:rFonts w:ascii="Garamond" w:hAnsi="Garamond"/>
          <w:sz w:val="24"/>
          <w:szCs w:val="24"/>
        </w:rPr>
        <w:t>Grant revenue has also been shr</w:t>
      </w:r>
      <w:r w:rsidRPr="0006603C">
        <w:rPr>
          <w:rFonts w:ascii="Garamond" w:hAnsi="Garamond"/>
          <w:sz w:val="24"/>
          <w:szCs w:val="24"/>
        </w:rPr>
        <w:t xml:space="preserve">inking due to budget constraints in donor countries, indicating a need for tapping into new finance sources and instruments (e.g. blended finance) to complement domestic sources of financing. </w:t>
      </w:r>
      <w:r w:rsidRPr="00D33471">
        <w:rPr>
          <w:rFonts w:ascii="Garamond" w:hAnsi="Garamond"/>
          <w:sz w:val="24"/>
          <w:szCs w:val="24"/>
        </w:rPr>
        <w:t>Development partners need to honor their Official Development Assistance (ODA) commitments in a timely and adequate manner, scale up their support in terms of capital, technology and capacity building. There is a need to improve allocation and disbursement of ODA through better management by MoFEC and line ministries</w:t>
      </w:r>
      <w:r w:rsidRPr="00D33471">
        <w:rPr>
          <w:rFonts w:ascii="MyriadPro-Cond" w:hAnsi="MyriadPro-Cond" w:cs="MyriadPro-Cond"/>
          <w:sz w:val="20"/>
          <w:szCs w:val="20"/>
          <w:lang w:val="en-GB"/>
        </w:rPr>
        <w:t>.</w:t>
      </w:r>
      <w:r w:rsidRPr="00D33471">
        <w:rPr>
          <w:rFonts w:ascii="Garamond" w:hAnsi="Garamond"/>
          <w:sz w:val="24"/>
          <w:szCs w:val="24"/>
        </w:rPr>
        <w:t xml:space="preserve">Manage the reduction in the time it takes to implement ODA projects through strengthening the monitoring and evaluation capacity of MoFEC, NPC and line ministries. There is also a need to improve effective utilization of external resources, improve project planning, and management capacity to execute projects on time and with the required quality. Strong domestic capacity needs to be built across sectors in project planning, management, monitoring, and contract administration.  </w:t>
      </w:r>
    </w:p>
    <w:p w:rsidR="00C764A2" w:rsidRPr="00D33471" w:rsidRDefault="00C764A2" w:rsidP="00C764A2">
      <w:pPr>
        <w:spacing w:after="0" w:line="240" w:lineRule="auto"/>
        <w:jc w:val="both"/>
        <w:rPr>
          <w:rFonts w:ascii="Garamond" w:hAnsi="Garamond"/>
          <w:sz w:val="24"/>
          <w:szCs w:val="24"/>
        </w:rPr>
      </w:pPr>
    </w:p>
    <w:p w:rsidR="00C764A2" w:rsidRPr="00D33471" w:rsidRDefault="00C764A2" w:rsidP="00C764A2">
      <w:pPr>
        <w:spacing w:after="0" w:line="240" w:lineRule="auto"/>
        <w:jc w:val="both"/>
        <w:rPr>
          <w:rFonts w:ascii="Garamond" w:hAnsi="Garamond"/>
          <w:sz w:val="24"/>
          <w:szCs w:val="24"/>
        </w:rPr>
      </w:pPr>
      <w:r>
        <w:rPr>
          <w:rFonts w:ascii="Garamond" w:hAnsi="Garamond"/>
          <w:b/>
          <w:sz w:val="24"/>
          <w:szCs w:val="24"/>
        </w:rPr>
        <w:t xml:space="preserve">Component 4: </w:t>
      </w:r>
      <w:r w:rsidRPr="00D33471">
        <w:rPr>
          <w:rFonts w:ascii="Garamond" w:hAnsi="Garamond"/>
          <w:b/>
          <w:sz w:val="24"/>
          <w:szCs w:val="24"/>
        </w:rPr>
        <w:t>Enhance South-South Cooperation (SSC)</w:t>
      </w:r>
      <w:r w:rsidRPr="00D33471">
        <w:rPr>
          <w:rFonts w:ascii="Garamond" w:hAnsi="Garamond"/>
          <w:sz w:val="24"/>
          <w:szCs w:val="24"/>
        </w:rPr>
        <w:t>: There is a need to strengthen South-South Cooperation through bilateral, trilateral and interregional initiatives to support the country’s development programmes. Currently, the scope and depth SSC is limited as a large share of SSC is originating from few countries and there is huge potential to leverage SSC. Efforts are also required to change composition of the financial linkages with SSC through designing projects with smart financing modalities (e.g. blended finance). There is also a need to diversify the quality of SSC by improving the current cooperation modality,</w:t>
      </w:r>
      <w:r w:rsidRPr="00D33471">
        <w:rPr>
          <w:rFonts w:ascii="Garamond" w:hAnsi="Garamond" w:cs="Arial"/>
          <w:color w:val="333333"/>
          <w:sz w:val="24"/>
          <w:szCs w:val="24"/>
        </w:rPr>
        <w:t xml:space="preserve"> facilitating regional integration</w:t>
      </w:r>
      <w:r w:rsidRPr="00D33471">
        <w:rPr>
          <w:rFonts w:ascii="Garamond" w:hAnsi="Garamond"/>
          <w:sz w:val="24"/>
          <w:szCs w:val="24"/>
        </w:rPr>
        <w:t xml:space="preserve"> and capturing more countries </w:t>
      </w:r>
      <w:r>
        <w:rPr>
          <w:rFonts w:ascii="Garamond" w:hAnsi="Garamond"/>
          <w:sz w:val="24"/>
          <w:szCs w:val="24"/>
        </w:rPr>
        <w:t>thr</w:t>
      </w:r>
      <w:r w:rsidRPr="00D33471">
        <w:rPr>
          <w:rFonts w:ascii="Garamond" w:hAnsi="Garamond"/>
          <w:sz w:val="24"/>
          <w:szCs w:val="24"/>
        </w:rPr>
        <w:t>ough bilateral negations. Developing a comprehensive database for SSC is require</w:t>
      </w:r>
      <w:r w:rsidR="00AB7244">
        <w:rPr>
          <w:rFonts w:ascii="Garamond" w:hAnsi="Garamond"/>
          <w:sz w:val="24"/>
          <w:szCs w:val="24"/>
        </w:rPr>
        <w:t>d</w:t>
      </w:r>
      <w:r w:rsidRPr="00D33471">
        <w:rPr>
          <w:rFonts w:ascii="Garamond" w:hAnsi="Garamond"/>
          <w:sz w:val="24"/>
          <w:szCs w:val="24"/>
        </w:rPr>
        <w:t xml:space="preserve"> to effectively monitor and disseminate information to stakeholders. </w:t>
      </w:r>
    </w:p>
    <w:p w:rsidR="00C764A2" w:rsidRPr="00204C49" w:rsidRDefault="00C764A2" w:rsidP="00C764A2">
      <w:pPr>
        <w:spacing w:after="0" w:line="240" w:lineRule="auto"/>
        <w:jc w:val="both"/>
        <w:rPr>
          <w:rFonts w:ascii="Garamond" w:hAnsi="Garamond"/>
          <w:bCs/>
          <w:sz w:val="24"/>
          <w:szCs w:val="24"/>
        </w:rPr>
      </w:pPr>
    </w:p>
    <w:p w:rsidR="00C764A2" w:rsidRDefault="00C764A2" w:rsidP="00C764A2">
      <w:pPr>
        <w:spacing w:after="0" w:line="240" w:lineRule="auto"/>
        <w:jc w:val="both"/>
        <w:rPr>
          <w:rFonts w:ascii="Garamond" w:hAnsi="Garamond" w:cs="Arial"/>
          <w:color w:val="333333"/>
          <w:sz w:val="24"/>
          <w:szCs w:val="24"/>
        </w:rPr>
      </w:pPr>
      <w:r>
        <w:rPr>
          <w:rFonts w:ascii="Garamond" w:hAnsi="Garamond" w:cs="Arial"/>
          <w:b/>
          <w:color w:val="333333"/>
          <w:sz w:val="24"/>
          <w:szCs w:val="24"/>
        </w:rPr>
        <w:t xml:space="preserve">Component 5: </w:t>
      </w:r>
      <w:r w:rsidRPr="00F641D5">
        <w:rPr>
          <w:rFonts w:ascii="Garamond" w:hAnsi="Garamond" w:cs="Arial"/>
          <w:b/>
          <w:color w:val="333333"/>
          <w:sz w:val="24"/>
          <w:szCs w:val="24"/>
        </w:rPr>
        <w:t xml:space="preserve">Climate change finance: </w:t>
      </w:r>
      <w:r w:rsidRPr="00F641D5">
        <w:rPr>
          <w:rFonts w:ascii="Garamond" w:hAnsi="Garamond" w:cs="Arial"/>
          <w:color w:val="333333"/>
          <w:sz w:val="24"/>
          <w:szCs w:val="24"/>
        </w:rPr>
        <w:t xml:space="preserve">The resource requirement for realization of addressing the climate change risks and the 2025 vision significantly exceeds the current capacity, which require additional resources to meet the envisaged targets. This requires tapping climate finance through bankable projects which in turn requires building strong local capacity in project preparation and negotiation. Specific interventions include support in the establishment project preparation fund within MoFEC, enhance coordination and harmonization of climate-related programmes from a variety of sources (public, private, community and non-governmental organization) to maximize synergies. Support is also required to comprehensively assess CRGE finance and investment needs, establish economy-wide baseline climate change relevant CRGE finance, and identify financing options. In addition, there is a need to develop a climate fiscal framework to track climate related financial flows and uses. Equally important is establishing a comprehensive database within MoFEC for tracking climate finance flows to Ethiopia and its uses.  </w:t>
      </w:r>
    </w:p>
    <w:p w:rsidR="00C764A2" w:rsidRPr="00F641D5" w:rsidRDefault="00C764A2" w:rsidP="00C764A2">
      <w:pPr>
        <w:spacing w:after="0" w:line="240" w:lineRule="auto"/>
        <w:jc w:val="both"/>
        <w:rPr>
          <w:rFonts w:ascii="Garamond" w:hAnsi="Garamond" w:cs="Arial"/>
          <w:color w:val="333333"/>
          <w:sz w:val="24"/>
          <w:szCs w:val="24"/>
        </w:rPr>
      </w:pPr>
    </w:p>
    <w:p w:rsidR="00C764A2" w:rsidRPr="00696B68" w:rsidRDefault="00C764A2" w:rsidP="00C764A2">
      <w:pPr>
        <w:pStyle w:val="ListParagraph"/>
        <w:numPr>
          <w:ilvl w:val="0"/>
          <w:numId w:val="43"/>
        </w:numPr>
        <w:spacing w:after="0" w:line="240" w:lineRule="auto"/>
        <w:rPr>
          <w:rFonts w:ascii="Garamond" w:hAnsi="Garamond" w:cs="Arial"/>
          <w:b/>
          <w:color w:val="333333"/>
          <w:sz w:val="24"/>
          <w:szCs w:val="24"/>
        </w:rPr>
      </w:pPr>
      <w:r w:rsidRPr="00696B68">
        <w:rPr>
          <w:rFonts w:ascii="Garamond" w:hAnsi="Garamond" w:cs="Arial"/>
          <w:b/>
          <w:color w:val="333333"/>
          <w:sz w:val="24"/>
          <w:szCs w:val="24"/>
        </w:rPr>
        <w:t>Cross-cutting issues</w:t>
      </w:r>
    </w:p>
    <w:p w:rsidR="00C764A2" w:rsidRDefault="00C764A2" w:rsidP="00C764A2">
      <w:pPr>
        <w:spacing w:after="0" w:line="240" w:lineRule="auto"/>
        <w:jc w:val="both"/>
        <w:rPr>
          <w:rFonts w:ascii="Garamond" w:hAnsi="Garamond" w:cs="Times-Roman"/>
          <w:kern w:val="28"/>
          <w:sz w:val="24"/>
          <w:szCs w:val="24"/>
        </w:rPr>
      </w:pPr>
      <w:r w:rsidRPr="00F641D5">
        <w:rPr>
          <w:rFonts w:ascii="Garamond" w:hAnsi="Garamond"/>
          <w:b/>
          <w:bCs/>
        </w:rPr>
        <w:t xml:space="preserve">Component 7: Strengthening capacity building </w:t>
      </w:r>
      <w:r w:rsidRPr="00F641D5">
        <w:rPr>
          <w:rFonts w:ascii="Garamond" w:hAnsi="Garamond"/>
          <w:bCs/>
        </w:rPr>
        <w:t>with a focus on</w:t>
      </w:r>
      <w:r w:rsidRPr="00F641D5">
        <w:rPr>
          <w:rFonts w:ascii="Garamond" w:hAnsi="Garamond"/>
          <w:b/>
          <w:bCs/>
        </w:rPr>
        <w:t xml:space="preserve"> </w:t>
      </w:r>
      <w:r w:rsidRPr="00F641D5">
        <w:rPr>
          <w:rFonts w:ascii="Garamond" w:hAnsi="Garamond"/>
          <w:bCs/>
        </w:rPr>
        <w:t>improving good governance at all levels, strengthening and establishing a robust monitoring and evaluation (M&amp;E) system, and human capacity development.</w:t>
      </w:r>
      <w:r w:rsidRPr="00F641D5">
        <w:rPr>
          <w:rFonts w:ascii="Garamond" w:hAnsi="Garamond" w:cs="Times-Roman"/>
          <w:kern w:val="28"/>
          <w:sz w:val="24"/>
          <w:szCs w:val="24"/>
        </w:rPr>
        <w:t xml:space="preserve"> At institutional level, t</w:t>
      </w:r>
      <w:r w:rsidRPr="00F641D5">
        <w:rPr>
          <w:rFonts w:ascii="Garamond" w:hAnsi="Garamond" w:cs="Garamond"/>
          <w:kern w:val="28"/>
          <w:sz w:val="24"/>
          <w:szCs w:val="24"/>
        </w:rPr>
        <w:t xml:space="preserve">here is a need to establish a well thought, forward looking and shared systems to accommodate current and future developments. This requires strengthening a </w:t>
      </w:r>
      <w:r w:rsidRPr="00F641D5">
        <w:rPr>
          <w:rFonts w:ascii="Garamond" w:hAnsi="Garamond" w:cs="Garamond"/>
          <w:kern w:val="28"/>
          <w:sz w:val="24"/>
          <w:szCs w:val="24"/>
        </w:rPr>
        <w:lastRenderedPageBreak/>
        <w:t>robust monitoring and evaluation (M&amp;E) system at all levels (e.g. establishing a function M&amp;E unit and d</w:t>
      </w:r>
      <w:r w:rsidRPr="00F641D5">
        <w:rPr>
          <w:rFonts w:ascii="Garamond" w:hAnsi="Garamond" w:cs="Times-Roman"/>
          <w:kern w:val="28"/>
          <w:sz w:val="24"/>
          <w:szCs w:val="24"/>
        </w:rPr>
        <w:t xml:space="preserve">eveloping monitoring and evaluation policy and guidelines). While there is an M&amp;E framework for physical activities in GTP-II, there is no M&amp;E for tracking financial targets under GTP-II, indicating the need for developing financial M&amp;E and ensure its alignment with national development plan.  </w:t>
      </w:r>
    </w:p>
    <w:p w:rsidR="00AB7244" w:rsidRDefault="00AB7244" w:rsidP="00C764A2">
      <w:pPr>
        <w:shd w:val="clear" w:color="auto" w:fill="FFFFFF"/>
        <w:spacing w:after="0" w:line="240" w:lineRule="auto"/>
        <w:jc w:val="both"/>
        <w:rPr>
          <w:rFonts w:ascii="Garamond" w:hAnsi="Garamond" w:cs="Arial"/>
          <w:b/>
          <w:color w:val="333333"/>
          <w:sz w:val="24"/>
          <w:szCs w:val="24"/>
        </w:rPr>
      </w:pPr>
    </w:p>
    <w:p w:rsidR="00C764A2" w:rsidRDefault="00C764A2" w:rsidP="00C764A2">
      <w:pPr>
        <w:shd w:val="clear" w:color="auto" w:fill="FFFFFF"/>
        <w:spacing w:after="0" w:line="240" w:lineRule="auto"/>
        <w:jc w:val="both"/>
        <w:rPr>
          <w:rFonts w:ascii="Garamond" w:eastAsia="Calibri" w:hAnsi="Garamond" w:cs="Times-Roman"/>
          <w:kern w:val="28"/>
          <w:sz w:val="24"/>
          <w:szCs w:val="24"/>
        </w:rPr>
      </w:pPr>
      <w:r>
        <w:rPr>
          <w:rFonts w:ascii="Garamond" w:hAnsi="Garamond" w:cs="Arial"/>
          <w:b/>
          <w:color w:val="333333"/>
          <w:sz w:val="24"/>
          <w:szCs w:val="24"/>
        </w:rPr>
        <w:t xml:space="preserve">Enhance coordination mechanism: </w:t>
      </w:r>
      <w:r>
        <w:rPr>
          <w:rFonts w:ascii="Garamond" w:eastAsia="Calibri" w:hAnsi="Garamond" w:cs="Times-Roman"/>
          <w:kern w:val="28"/>
          <w:sz w:val="24"/>
          <w:szCs w:val="24"/>
        </w:rPr>
        <w:t>T</w:t>
      </w:r>
      <w:r w:rsidRPr="000D790C">
        <w:rPr>
          <w:rFonts w:ascii="Garamond" w:eastAsia="Calibri" w:hAnsi="Garamond" w:cs="Times-Roman"/>
          <w:kern w:val="28"/>
          <w:sz w:val="24"/>
          <w:szCs w:val="24"/>
        </w:rPr>
        <w:t>here is a need to strengthen i</w:t>
      </w:r>
      <w:r>
        <w:rPr>
          <w:rFonts w:ascii="Garamond" w:eastAsia="Calibri" w:hAnsi="Garamond" w:cs="Times-Roman"/>
          <w:kern w:val="28"/>
          <w:sz w:val="24"/>
          <w:szCs w:val="24"/>
        </w:rPr>
        <w:t>nter-sector policy coordination through providing</w:t>
      </w:r>
      <w:r w:rsidRPr="000D790C">
        <w:rPr>
          <w:rFonts w:ascii="Garamond" w:eastAsia="Calibri" w:hAnsi="Garamond" w:cs="Times-Roman"/>
          <w:kern w:val="28"/>
          <w:sz w:val="24"/>
          <w:szCs w:val="24"/>
        </w:rPr>
        <w:t xml:space="preserve"> policy and legislative guidance for effective implementation, monitoring, evaluation and reporting. In particular, </w:t>
      </w:r>
      <w:r>
        <w:rPr>
          <w:rFonts w:ascii="Garamond" w:eastAsia="Calibri" w:hAnsi="Garamond" w:cs="Times-Roman"/>
          <w:kern w:val="28"/>
          <w:sz w:val="24"/>
          <w:szCs w:val="24"/>
        </w:rPr>
        <w:t xml:space="preserve">a </w:t>
      </w:r>
      <w:r w:rsidRPr="000D790C">
        <w:rPr>
          <w:rFonts w:ascii="Garamond" w:eastAsia="Calibri" w:hAnsi="Garamond" w:cs="Times-Roman"/>
          <w:kern w:val="28"/>
          <w:sz w:val="24"/>
          <w:szCs w:val="24"/>
        </w:rPr>
        <w:t>strong coordination architecture is crucial to harmonize different development programmes</w:t>
      </w:r>
      <w:r>
        <w:rPr>
          <w:rFonts w:ascii="Garamond" w:eastAsia="Calibri" w:hAnsi="Garamond" w:cs="Times-Roman"/>
          <w:kern w:val="28"/>
          <w:sz w:val="24"/>
          <w:szCs w:val="24"/>
        </w:rPr>
        <w:t xml:space="preserve">, </w:t>
      </w:r>
      <w:r w:rsidRPr="000D790C">
        <w:rPr>
          <w:rFonts w:ascii="Garamond" w:eastAsia="Calibri" w:hAnsi="Garamond" w:cs="Times-Roman"/>
          <w:kern w:val="28"/>
          <w:sz w:val="24"/>
          <w:szCs w:val="24"/>
        </w:rPr>
        <w:t>reduce duplication of efforts and enhance synergies across programmes. The current a three level dialogue Architecture between the government of Ethiopia and development partners can serve an entry point for enhancing coordination among development partners, sectors and the government. In this regard, strong monitoring and evaluation system shall be in place at all levels to enhance coordination and alignment of programmes</w:t>
      </w:r>
      <w:r>
        <w:rPr>
          <w:rFonts w:ascii="Garamond" w:eastAsia="Calibri" w:hAnsi="Garamond" w:cs="Times-Roman"/>
          <w:kern w:val="28"/>
          <w:sz w:val="24"/>
          <w:szCs w:val="24"/>
        </w:rPr>
        <w:t xml:space="preserve">, improve </w:t>
      </w:r>
      <w:r w:rsidRPr="0088147B">
        <w:rPr>
          <w:rFonts w:ascii="Garamond" w:eastAsia="Calibri" w:hAnsi="Garamond" w:cs="Times-Roman"/>
          <w:kern w:val="28"/>
          <w:sz w:val="24"/>
          <w:szCs w:val="24"/>
        </w:rPr>
        <w:t>accountability</w:t>
      </w:r>
      <w:r>
        <w:rPr>
          <w:rFonts w:ascii="Garamond" w:eastAsia="Calibri" w:hAnsi="Garamond" w:cs="Times-Roman"/>
          <w:kern w:val="28"/>
          <w:sz w:val="24"/>
          <w:szCs w:val="24"/>
        </w:rPr>
        <w:t>, and</w:t>
      </w:r>
      <w:r w:rsidRPr="0088147B">
        <w:rPr>
          <w:rFonts w:ascii="Garamond" w:eastAsia="Calibri" w:hAnsi="Garamond" w:cs="Times-Roman"/>
          <w:kern w:val="28"/>
          <w:sz w:val="24"/>
          <w:szCs w:val="24"/>
        </w:rPr>
        <w:t xml:space="preserve"> to inform policy</w:t>
      </w:r>
      <w:r>
        <w:rPr>
          <w:rFonts w:ascii="Garamond" w:eastAsia="Calibri" w:hAnsi="Garamond" w:cs="Times-Roman"/>
          <w:kern w:val="28"/>
          <w:sz w:val="24"/>
          <w:szCs w:val="24"/>
        </w:rPr>
        <w:t>,</w:t>
      </w:r>
      <w:r w:rsidRPr="0088147B">
        <w:rPr>
          <w:rFonts w:ascii="Garamond" w:eastAsia="Calibri" w:hAnsi="Garamond" w:cs="Times-Roman"/>
          <w:kern w:val="28"/>
          <w:sz w:val="24"/>
          <w:szCs w:val="24"/>
        </w:rPr>
        <w:t xml:space="preserve"> planning, and programme development</w:t>
      </w:r>
      <w:r>
        <w:rPr>
          <w:rFonts w:ascii="Garamond" w:eastAsia="Calibri" w:hAnsi="Garamond" w:cs="Times-Roman"/>
          <w:kern w:val="28"/>
          <w:sz w:val="24"/>
          <w:szCs w:val="24"/>
        </w:rPr>
        <w:t xml:space="preserve"> as well as </w:t>
      </w:r>
      <w:r w:rsidRPr="0088147B">
        <w:rPr>
          <w:rFonts w:ascii="Garamond" w:eastAsia="Calibri" w:hAnsi="Garamond" w:cs="Times-Roman"/>
          <w:kern w:val="28"/>
          <w:sz w:val="24"/>
          <w:szCs w:val="24"/>
        </w:rPr>
        <w:t>budgeting decisions</w:t>
      </w:r>
      <w:r>
        <w:rPr>
          <w:rFonts w:ascii="Garamond" w:eastAsia="Calibri" w:hAnsi="Garamond" w:cs="Times-Roman"/>
          <w:kern w:val="28"/>
          <w:sz w:val="24"/>
          <w:szCs w:val="24"/>
        </w:rPr>
        <w:t xml:space="preserve">. </w:t>
      </w:r>
      <w:r w:rsidRPr="000D790C">
        <w:rPr>
          <w:rFonts w:ascii="Garamond" w:eastAsia="Calibri" w:hAnsi="Garamond" w:cs="Times-Roman"/>
          <w:kern w:val="28"/>
          <w:sz w:val="24"/>
          <w:szCs w:val="24"/>
        </w:rPr>
        <w:t>In addition, efforts should be made to strengthen statistical capacity and improve the quality and timeliness of statistical data.</w:t>
      </w:r>
    </w:p>
    <w:p w:rsidR="00C764A2" w:rsidRPr="00F641D5" w:rsidRDefault="00C764A2" w:rsidP="00C764A2">
      <w:pPr>
        <w:spacing w:after="0" w:line="240" w:lineRule="auto"/>
        <w:jc w:val="both"/>
        <w:rPr>
          <w:rFonts w:ascii="Garamond" w:hAnsi="Garamond" w:cs="Times-Roman"/>
          <w:kern w:val="28"/>
          <w:sz w:val="24"/>
          <w:szCs w:val="24"/>
        </w:rPr>
      </w:pPr>
    </w:p>
    <w:p w:rsidR="00C764A2" w:rsidRPr="000E1F7D" w:rsidRDefault="00C764A2" w:rsidP="00C764A2">
      <w:pPr>
        <w:pStyle w:val="CommentText"/>
        <w:jc w:val="both"/>
        <w:rPr>
          <w:rFonts w:ascii="Garamond" w:hAnsi="Garamond" w:cs="Arial"/>
          <w:color w:val="333333"/>
          <w:sz w:val="24"/>
          <w:szCs w:val="24"/>
        </w:rPr>
      </w:pPr>
      <w:r w:rsidRPr="000E1F7D">
        <w:rPr>
          <w:rFonts w:ascii="Garamond" w:hAnsi="Garamond" w:cs="Arial"/>
          <w:b/>
          <w:color w:val="333333"/>
          <w:sz w:val="24"/>
          <w:szCs w:val="24"/>
        </w:rPr>
        <w:t>Improve inclusiveness and social services:</w:t>
      </w:r>
      <w:r w:rsidRPr="000E1F7D">
        <w:rPr>
          <w:rFonts w:ascii="Garamond" w:hAnsi="Garamond" w:cs="Arial"/>
          <w:color w:val="333333"/>
          <w:sz w:val="24"/>
          <w:szCs w:val="24"/>
        </w:rPr>
        <w:t xml:space="preserve"> Improvements in public service delivery system, including employment, education and health care, and ensure equal access to basic public services continue to be the primary focus of the country. </w:t>
      </w:r>
      <w:r>
        <w:rPr>
          <w:rFonts w:ascii="Garamond" w:hAnsi="Garamond" w:cs="Arial"/>
          <w:color w:val="333333"/>
          <w:sz w:val="24"/>
          <w:szCs w:val="24"/>
        </w:rPr>
        <w:t xml:space="preserve">In particular, promoting SMEs is crucial to ensure inclusiveness, especially as a means of employment creation for the growing labur force.  SMEs are constrained by multiple problems including credit, market, technology, etc. </w:t>
      </w:r>
      <w:r>
        <w:rPr>
          <w:rFonts w:ascii="Garamond" w:hAnsi="Garamond"/>
          <w:sz w:val="24"/>
          <w:szCs w:val="24"/>
        </w:rPr>
        <w:t xml:space="preserve">The existing commercial banks don’t have a special window for SMEs services nor are there specialized financial institution to cater the needs of SMEs. This calls for </w:t>
      </w:r>
      <w:r w:rsidRPr="00856823">
        <w:rPr>
          <w:rFonts w:ascii="Garamond" w:hAnsi="Garamond"/>
          <w:sz w:val="24"/>
          <w:szCs w:val="24"/>
        </w:rPr>
        <w:t xml:space="preserve">promoting </w:t>
      </w:r>
      <w:r>
        <w:rPr>
          <w:rFonts w:ascii="Garamond" w:hAnsi="Garamond"/>
          <w:sz w:val="24"/>
          <w:szCs w:val="24"/>
        </w:rPr>
        <w:t>S</w:t>
      </w:r>
      <w:r w:rsidRPr="00856823">
        <w:rPr>
          <w:rFonts w:ascii="Garamond" w:hAnsi="Garamond"/>
          <w:sz w:val="24"/>
          <w:szCs w:val="24"/>
        </w:rPr>
        <w:t xml:space="preserve">MEs through improving access to warehouses, relaxing credit constraints, and improving the macroeconomic and regulatory environment, the potential for </w:t>
      </w:r>
      <w:r>
        <w:rPr>
          <w:rFonts w:ascii="Garamond" w:hAnsi="Garamond"/>
          <w:sz w:val="24"/>
          <w:szCs w:val="24"/>
        </w:rPr>
        <w:t>S</w:t>
      </w:r>
      <w:r w:rsidRPr="00856823">
        <w:rPr>
          <w:rFonts w:ascii="Garamond" w:hAnsi="Garamond"/>
          <w:sz w:val="24"/>
          <w:szCs w:val="24"/>
        </w:rPr>
        <w:t>MEs for creating more jobs will be severely compromised.</w:t>
      </w:r>
      <w:r>
        <w:rPr>
          <w:rFonts w:ascii="Garamond" w:hAnsi="Garamond"/>
          <w:sz w:val="24"/>
          <w:szCs w:val="24"/>
        </w:rPr>
        <w:t xml:space="preserve"> </w:t>
      </w:r>
      <w:r w:rsidRPr="000E1F7D">
        <w:rPr>
          <w:rFonts w:ascii="Garamond" w:hAnsi="Garamond" w:cs="Arial"/>
          <w:color w:val="333333"/>
          <w:sz w:val="24"/>
          <w:szCs w:val="24"/>
        </w:rPr>
        <w:t xml:space="preserve">Key interventions include provide inclusive assistance for new businesses and encourage job creation through expansions </w:t>
      </w:r>
      <w:r>
        <w:rPr>
          <w:rFonts w:ascii="Garamond" w:hAnsi="Garamond" w:cs="Arial"/>
          <w:color w:val="333333"/>
          <w:sz w:val="24"/>
          <w:szCs w:val="24"/>
        </w:rPr>
        <w:t xml:space="preserve">and growth </w:t>
      </w:r>
      <w:r w:rsidRPr="000E1F7D">
        <w:rPr>
          <w:rFonts w:ascii="Garamond" w:hAnsi="Garamond" w:cs="Arial"/>
          <w:color w:val="333333"/>
          <w:sz w:val="24"/>
          <w:szCs w:val="24"/>
        </w:rPr>
        <w:t>of small and medium enterprises</w:t>
      </w:r>
      <w:r>
        <w:rPr>
          <w:rFonts w:ascii="Garamond" w:hAnsi="Garamond" w:cs="Arial"/>
          <w:color w:val="333333"/>
          <w:sz w:val="24"/>
          <w:szCs w:val="24"/>
        </w:rPr>
        <w:t xml:space="preserve"> (SMEs)</w:t>
      </w:r>
      <w:r w:rsidRPr="000E1F7D">
        <w:rPr>
          <w:rFonts w:ascii="Garamond" w:hAnsi="Garamond" w:cs="Arial"/>
          <w:color w:val="333333"/>
          <w:sz w:val="24"/>
          <w:szCs w:val="24"/>
        </w:rPr>
        <w:t>, and improve access and quality of education for all and at all levels. In addition, enhance social protection and security through expanding the coverage of social security, strengthening quality basic healthcare services. These interventions require subs</w:t>
      </w:r>
      <w:r w:rsidR="0009508F">
        <w:rPr>
          <w:rFonts w:ascii="Garamond" w:hAnsi="Garamond" w:cs="Arial"/>
          <w:color w:val="333333"/>
          <w:sz w:val="24"/>
          <w:szCs w:val="24"/>
        </w:rPr>
        <w:t xml:space="preserve">tantial resources, strong </w:t>
      </w:r>
      <w:r w:rsidRPr="000E1F7D">
        <w:rPr>
          <w:rFonts w:ascii="Garamond" w:hAnsi="Garamond" w:cs="Arial"/>
          <w:color w:val="333333"/>
          <w:sz w:val="24"/>
          <w:szCs w:val="24"/>
        </w:rPr>
        <w:t xml:space="preserve">coordination and alignment of programmes from different stakeholders to achieve the desired targets. </w:t>
      </w:r>
    </w:p>
    <w:p w:rsidR="00C764A2" w:rsidRDefault="00C764A2" w:rsidP="00C764A2"/>
    <w:p w:rsidR="006F2EF3" w:rsidRPr="00B55AD1" w:rsidRDefault="006F2EF3" w:rsidP="00B55AD1">
      <w:pPr>
        <w:spacing w:after="0" w:line="360" w:lineRule="auto"/>
        <w:rPr>
          <w:rFonts w:ascii="Garamond" w:hAnsi="Garamond"/>
        </w:rPr>
      </w:pPr>
    </w:p>
    <w:p w:rsidR="006F2EF3" w:rsidRPr="00B55AD1" w:rsidRDefault="006F2EF3" w:rsidP="00B55AD1">
      <w:pPr>
        <w:spacing w:after="0" w:line="360" w:lineRule="auto"/>
        <w:jc w:val="right"/>
        <w:rPr>
          <w:rFonts w:ascii="Garamond" w:eastAsia="SimSun" w:hAnsi="Garamond" w:cs="Tahoma"/>
          <w:color w:val="0000FF"/>
        </w:rPr>
      </w:pPr>
    </w:p>
    <w:p w:rsidR="006F2EF3" w:rsidRPr="00154B87" w:rsidRDefault="006F2EF3" w:rsidP="00C26A15">
      <w:pPr>
        <w:pStyle w:val="Heading1"/>
        <w:spacing w:before="0" w:line="240" w:lineRule="auto"/>
        <w:jc w:val="center"/>
        <w:rPr>
          <w:rStyle w:val="Emphasis"/>
          <w:rFonts w:ascii="Garamond" w:hAnsi="Garamond"/>
          <w:b/>
          <w:i w:val="0"/>
          <w:sz w:val="24"/>
          <w:szCs w:val="24"/>
        </w:rPr>
      </w:pPr>
      <w:r w:rsidRPr="00B55AD1">
        <w:rPr>
          <w:rFonts w:ascii="Garamond" w:hAnsi="Garamond" w:cs="Tahoma"/>
          <w:color w:val="000000"/>
          <w:sz w:val="22"/>
          <w:szCs w:val="22"/>
          <w:lang w:val="en-PH" w:eastAsia="en-PH"/>
        </w:rPr>
        <w:br w:type="page"/>
      </w:r>
      <w:bookmarkStart w:id="7" w:name="_Toc451528022"/>
      <w:bookmarkStart w:id="8" w:name="_Toc486782246"/>
      <w:r w:rsidRPr="009C111B">
        <w:rPr>
          <w:rStyle w:val="Emphasis"/>
          <w:rFonts w:ascii="Garamond" w:hAnsi="Garamond"/>
          <w:b/>
          <w:i w:val="0"/>
          <w:sz w:val="24"/>
          <w:szCs w:val="24"/>
        </w:rPr>
        <w:lastRenderedPageBreak/>
        <w:t>1.</w:t>
      </w:r>
      <w:r w:rsidRPr="00154B87">
        <w:rPr>
          <w:rStyle w:val="Emphasis"/>
          <w:rFonts w:ascii="Garamond" w:hAnsi="Garamond"/>
          <w:i w:val="0"/>
          <w:sz w:val="24"/>
          <w:szCs w:val="24"/>
        </w:rPr>
        <w:t xml:space="preserve"> </w:t>
      </w:r>
      <w:r w:rsidRPr="00154B87">
        <w:rPr>
          <w:rStyle w:val="Emphasis"/>
          <w:rFonts w:ascii="Garamond" w:hAnsi="Garamond"/>
          <w:b/>
          <w:i w:val="0"/>
          <w:sz w:val="24"/>
          <w:szCs w:val="24"/>
        </w:rPr>
        <w:t>The context</w:t>
      </w:r>
      <w:bookmarkEnd w:id="7"/>
      <w:bookmarkEnd w:id="8"/>
    </w:p>
    <w:p w:rsidR="006F2EF3" w:rsidRPr="0079382E" w:rsidRDefault="006F2EF3" w:rsidP="00C26A15">
      <w:pPr>
        <w:pStyle w:val="Heading2"/>
        <w:spacing w:before="0" w:line="240" w:lineRule="auto"/>
        <w:rPr>
          <w:rFonts w:ascii="Garamond" w:hAnsi="Garamond"/>
          <w:b/>
          <w:sz w:val="24"/>
          <w:szCs w:val="24"/>
          <w:lang w:val="en-PH" w:eastAsia="en-PH"/>
        </w:rPr>
      </w:pPr>
      <w:bookmarkStart w:id="9" w:name="_Toc486782247"/>
      <w:r w:rsidRPr="0079382E">
        <w:rPr>
          <w:rFonts w:ascii="Garamond" w:hAnsi="Garamond"/>
          <w:b/>
          <w:sz w:val="24"/>
          <w:szCs w:val="24"/>
          <w:lang w:val="en-PH" w:eastAsia="en-PH"/>
        </w:rPr>
        <w:t>1.1 Background</w:t>
      </w:r>
      <w:bookmarkEnd w:id="9"/>
      <w:r w:rsidRPr="0079382E">
        <w:rPr>
          <w:rFonts w:ascii="Garamond" w:hAnsi="Garamond"/>
          <w:b/>
          <w:sz w:val="24"/>
          <w:szCs w:val="24"/>
          <w:lang w:val="en-PH" w:eastAsia="en-PH"/>
        </w:rPr>
        <w:t xml:space="preserve"> </w:t>
      </w:r>
    </w:p>
    <w:p w:rsidR="006F2EF3" w:rsidRDefault="006F2EF3" w:rsidP="00C26A15">
      <w:pPr>
        <w:autoSpaceDE w:val="0"/>
        <w:autoSpaceDN w:val="0"/>
        <w:adjustRightInd w:val="0"/>
        <w:spacing w:after="0" w:line="240" w:lineRule="auto"/>
        <w:jc w:val="both"/>
        <w:rPr>
          <w:rFonts w:ascii="Garamond" w:hAnsi="Garamond"/>
          <w:sz w:val="24"/>
          <w:szCs w:val="24"/>
        </w:rPr>
      </w:pPr>
    </w:p>
    <w:p w:rsidR="006F2EF3" w:rsidRDefault="006F2EF3" w:rsidP="00C26A15">
      <w:pPr>
        <w:autoSpaceDE w:val="0"/>
        <w:autoSpaceDN w:val="0"/>
        <w:adjustRightInd w:val="0"/>
        <w:spacing w:after="0" w:line="240" w:lineRule="auto"/>
        <w:jc w:val="both"/>
        <w:rPr>
          <w:rFonts w:ascii="Garamond" w:hAnsi="Garamond" w:cs="FuturaBT-Heavy"/>
          <w:sz w:val="24"/>
          <w:szCs w:val="24"/>
          <w:lang w:val="en-GB"/>
        </w:rPr>
      </w:pPr>
      <w:r w:rsidRPr="00200616">
        <w:rPr>
          <w:rFonts w:ascii="Garamond" w:hAnsi="Garamond" w:cs="TimesNewRomanPSMT"/>
          <w:sz w:val="24"/>
          <w:szCs w:val="24"/>
        </w:rPr>
        <w:t>The Ethiopian government has increasingly become aware of and better informed about sustainable development</w:t>
      </w:r>
      <w:r>
        <w:rPr>
          <w:rFonts w:ascii="Garamond" w:hAnsi="Garamond" w:cs="TimesNewRomanPSMT"/>
          <w:sz w:val="24"/>
          <w:szCs w:val="24"/>
        </w:rPr>
        <w:t xml:space="preserve"> (SD)</w:t>
      </w:r>
      <w:r w:rsidRPr="00200616">
        <w:rPr>
          <w:rFonts w:ascii="Garamond" w:hAnsi="Garamond" w:cs="TimesNewRomanPSMT"/>
          <w:sz w:val="24"/>
          <w:szCs w:val="24"/>
        </w:rPr>
        <w:t xml:space="preserve"> </w:t>
      </w:r>
      <w:r>
        <w:rPr>
          <w:rFonts w:ascii="Garamond" w:hAnsi="Garamond" w:cs="TimesNewRomanPSMT"/>
          <w:sz w:val="24"/>
          <w:szCs w:val="24"/>
        </w:rPr>
        <w:t xml:space="preserve">more </w:t>
      </w:r>
      <w:r w:rsidRPr="00200616">
        <w:rPr>
          <w:rFonts w:ascii="Garamond" w:hAnsi="Garamond" w:cs="TimesNewRomanPSMT"/>
          <w:sz w:val="24"/>
          <w:szCs w:val="24"/>
        </w:rPr>
        <w:t>than a decade</w:t>
      </w:r>
      <w:r>
        <w:rPr>
          <w:rFonts w:ascii="Garamond" w:hAnsi="Garamond" w:cs="TimesNewRomanPSMT"/>
          <w:sz w:val="24"/>
          <w:szCs w:val="24"/>
        </w:rPr>
        <w:t xml:space="preserve"> or so</w:t>
      </w:r>
      <w:r w:rsidRPr="00200616">
        <w:rPr>
          <w:rFonts w:ascii="Garamond" w:hAnsi="Garamond" w:cs="TimesNewRomanPSMT"/>
          <w:sz w:val="24"/>
          <w:szCs w:val="24"/>
        </w:rPr>
        <w:t xml:space="preserve"> ago. </w:t>
      </w:r>
      <w:r>
        <w:rPr>
          <w:rFonts w:ascii="Garamond" w:hAnsi="Garamond"/>
          <w:sz w:val="24"/>
          <w:szCs w:val="24"/>
        </w:rPr>
        <w:t>The Supreme law of the land (or the Constitution) of the Federal Democratic Republic of Ethiopia (FDRE), which was enacted more than two decades ago</w:t>
      </w:r>
      <w:r w:rsidRPr="009E44F4">
        <w:rPr>
          <w:rFonts w:ascii="Garamond" w:hAnsi="Garamond" w:cs="FuturaBT-Heavy"/>
          <w:sz w:val="24"/>
          <w:szCs w:val="24"/>
        </w:rPr>
        <w:t xml:space="preserve">, </w:t>
      </w:r>
      <w:r>
        <w:rPr>
          <w:rFonts w:ascii="Garamond" w:hAnsi="Garamond" w:cs="FuturaBT-Heavy"/>
          <w:sz w:val="24"/>
          <w:szCs w:val="24"/>
        </w:rPr>
        <w:t>recognizes the importance of sustainable development</w:t>
      </w:r>
      <w:r w:rsidRPr="009E44F4">
        <w:rPr>
          <w:rFonts w:ascii="Garamond" w:hAnsi="Garamond" w:cs="FuturaBT-Heavy"/>
          <w:sz w:val="24"/>
          <w:szCs w:val="24"/>
        </w:rPr>
        <w:t xml:space="preserve">. </w:t>
      </w:r>
      <w:r w:rsidRPr="009E44F4">
        <w:rPr>
          <w:rFonts w:ascii="Garamond" w:hAnsi="Garamond" w:cs="FuturaBT-Heavy"/>
          <w:sz w:val="24"/>
          <w:szCs w:val="24"/>
          <w:lang w:val="en-GB"/>
        </w:rPr>
        <w:t>Guided by the principles of the supreme law of the land</w:t>
      </w:r>
      <w:r>
        <w:rPr>
          <w:rFonts w:ascii="Garamond" w:hAnsi="Garamond" w:cs="TimesNewRomanPSMT"/>
          <w:sz w:val="24"/>
          <w:szCs w:val="24"/>
        </w:rPr>
        <w:t>, t</w:t>
      </w:r>
      <w:r w:rsidRPr="00200616">
        <w:rPr>
          <w:rFonts w:ascii="Garamond" w:hAnsi="Garamond" w:cs="TimesNewRomanPSMT"/>
          <w:sz w:val="24"/>
          <w:szCs w:val="24"/>
        </w:rPr>
        <w:t xml:space="preserve">he government </w:t>
      </w:r>
      <w:r w:rsidR="00CA5D8E">
        <w:rPr>
          <w:rFonts w:ascii="Garamond" w:hAnsi="Garamond" w:cs="TimesNewRomanPSMT"/>
          <w:sz w:val="24"/>
          <w:szCs w:val="24"/>
        </w:rPr>
        <w:t xml:space="preserve">of Ethiopia </w:t>
      </w:r>
      <w:r w:rsidRPr="00200616">
        <w:rPr>
          <w:rFonts w:ascii="Garamond" w:hAnsi="Garamond" w:cs="TimesNewRomanPSMT"/>
          <w:sz w:val="24"/>
          <w:szCs w:val="24"/>
        </w:rPr>
        <w:t>has made enormous strides in articulating sustainable development in its development policies, strategies</w:t>
      </w:r>
      <w:r>
        <w:rPr>
          <w:rFonts w:ascii="Garamond" w:hAnsi="Garamond" w:cs="TimesNewRomanPSMT"/>
          <w:sz w:val="24"/>
          <w:szCs w:val="24"/>
        </w:rPr>
        <w:t xml:space="preserve"> </w:t>
      </w:r>
      <w:r w:rsidRPr="00200616">
        <w:rPr>
          <w:rFonts w:ascii="Garamond" w:hAnsi="Garamond" w:cs="TimesNewRomanPSMT"/>
          <w:sz w:val="24"/>
          <w:szCs w:val="24"/>
        </w:rPr>
        <w:t>and plans</w:t>
      </w:r>
      <w:r>
        <w:rPr>
          <w:rFonts w:ascii="Garamond" w:hAnsi="Garamond" w:cs="TimesNewRomanPSMT"/>
          <w:sz w:val="24"/>
          <w:szCs w:val="24"/>
        </w:rPr>
        <w:t xml:space="preserve">. </w:t>
      </w:r>
      <w:r w:rsidR="00B55778">
        <w:rPr>
          <w:rFonts w:ascii="Garamond" w:hAnsi="Garamond" w:cs="TimesNewRomanPSMT"/>
          <w:sz w:val="24"/>
          <w:szCs w:val="24"/>
        </w:rPr>
        <w:t>National</w:t>
      </w:r>
      <w:r w:rsidRPr="009E44F4">
        <w:rPr>
          <w:rFonts w:ascii="Garamond" w:hAnsi="Garamond" w:cs="FuturaBT-Heavy"/>
          <w:sz w:val="24"/>
          <w:szCs w:val="24"/>
          <w:lang w:val="en-GB"/>
        </w:rPr>
        <w:t xml:space="preserve"> policies, strategies, plans and programs are geared towards </w:t>
      </w:r>
      <w:r>
        <w:rPr>
          <w:rFonts w:ascii="Garamond" w:hAnsi="Garamond" w:cs="FuturaBT-Heavy"/>
          <w:sz w:val="24"/>
          <w:szCs w:val="24"/>
          <w:lang w:val="en-GB"/>
        </w:rPr>
        <w:t xml:space="preserve">achieving </w:t>
      </w:r>
      <w:r w:rsidRPr="009E44F4">
        <w:rPr>
          <w:rFonts w:ascii="Garamond" w:hAnsi="Garamond" w:cs="FuturaBT-Heavy"/>
          <w:sz w:val="24"/>
          <w:szCs w:val="24"/>
          <w:lang w:val="en-GB"/>
        </w:rPr>
        <w:t xml:space="preserve">sustainable development and </w:t>
      </w:r>
      <w:r>
        <w:rPr>
          <w:rFonts w:ascii="Garamond" w:hAnsi="Garamond" w:cs="FuturaBT-Heavy"/>
          <w:sz w:val="24"/>
          <w:szCs w:val="24"/>
          <w:lang w:val="en-GB"/>
        </w:rPr>
        <w:t xml:space="preserve">eradicating </w:t>
      </w:r>
      <w:r w:rsidRPr="009E44F4">
        <w:rPr>
          <w:rFonts w:ascii="Garamond" w:hAnsi="Garamond" w:cs="FuturaBT-Heavy"/>
          <w:sz w:val="24"/>
          <w:szCs w:val="24"/>
          <w:lang w:val="en-GB"/>
        </w:rPr>
        <w:t xml:space="preserve">poverty. </w:t>
      </w:r>
    </w:p>
    <w:p w:rsidR="006F2EF3" w:rsidRDefault="006F2EF3" w:rsidP="00C26A15">
      <w:pPr>
        <w:autoSpaceDE w:val="0"/>
        <w:autoSpaceDN w:val="0"/>
        <w:adjustRightInd w:val="0"/>
        <w:spacing w:after="0" w:line="240" w:lineRule="auto"/>
        <w:jc w:val="both"/>
        <w:rPr>
          <w:rFonts w:ascii="Garamond" w:hAnsi="Garamond"/>
          <w:sz w:val="24"/>
          <w:szCs w:val="24"/>
        </w:rPr>
      </w:pPr>
    </w:p>
    <w:p w:rsidR="006F2EF3" w:rsidRDefault="006F2EF3" w:rsidP="00C26A15">
      <w:pPr>
        <w:autoSpaceDE w:val="0"/>
        <w:autoSpaceDN w:val="0"/>
        <w:adjustRightInd w:val="0"/>
        <w:spacing w:after="0" w:line="240" w:lineRule="auto"/>
        <w:jc w:val="both"/>
        <w:rPr>
          <w:rFonts w:ascii="Garamond" w:hAnsi="Garamond" w:cs="Times"/>
          <w:sz w:val="24"/>
          <w:szCs w:val="24"/>
        </w:rPr>
      </w:pPr>
      <w:r w:rsidRPr="00D154E5">
        <w:rPr>
          <w:rFonts w:ascii="Garamond" w:hAnsi="Garamond" w:cs="Arial"/>
          <w:sz w:val="24"/>
          <w:szCs w:val="24"/>
        </w:rPr>
        <w:t xml:space="preserve">Ethiopia is committed to address the many acute and co-mingled economic, social and environmental issues which stand in the way of sustainable development, the greening of </w:t>
      </w:r>
      <w:r>
        <w:rPr>
          <w:rFonts w:ascii="Garamond" w:hAnsi="Garamond" w:cs="Arial"/>
          <w:sz w:val="24"/>
          <w:szCs w:val="24"/>
        </w:rPr>
        <w:t xml:space="preserve">the </w:t>
      </w:r>
      <w:r w:rsidRPr="00D154E5">
        <w:rPr>
          <w:rFonts w:ascii="Garamond" w:hAnsi="Garamond" w:cs="Arial"/>
          <w:sz w:val="24"/>
          <w:szCs w:val="24"/>
        </w:rPr>
        <w:t>econom</w:t>
      </w:r>
      <w:r>
        <w:rPr>
          <w:rFonts w:ascii="Garamond" w:hAnsi="Garamond" w:cs="Arial"/>
          <w:sz w:val="24"/>
          <w:szCs w:val="24"/>
        </w:rPr>
        <w:t>y</w:t>
      </w:r>
      <w:r w:rsidRPr="00D154E5">
        <w:rPr>
          <w:rFonts w:ascii="Garamond" w:hAnsi="Garamond" w:cs="Arial"/>
          <w:sz w:val="24"/>
          <w:szCs w:val="24"/>
        </w:rPr>
        <w:t xml:space="preserve"> and improvements in human wellbeing, quality of life and happiness.</w:t>
      </w:r>
      <w:r>
        <w:rPr>
          <w:rFonts w:ascii="Garamond" w:hAnsi="Garamond" w:cs="Arial"/>
          <w:sz w:val="24"/>
          <w:szCs w:val="24"/>
        </w:rPr>
        <w:t xml:space="preserve"> </w:t>
      </w:r>
      <w:r>
        <w:rPr>
          <w:rFonts w:ascii="Garamond" w:hAnsi="Garamond"/>
          <w:sz w:val="24"/>
          <w:szCs w:val="24"/>
        </w:rPr>
        <w:t>It</w:t>
      </w:r>
      <w:r w:rsidRPr="00362E30">
        <w:rPr>
          <w:rFonts w:ascii="Garamond" w:hAnsi="Garamond"/>
          <w:sz w:val="24"/>
          <w:szCs w:val="24"/>
        </w:rPr>
        <w:t xml:space="preserve"> has set out very ambitious goals to achieve economic, social and environmental transformation</w:t>
      </w:r>
      <w:r>
        <w:rPr>
          <w:rFonts w:ascii="Garamond" w:hAnsi="Garamond"/>
          <w:sz w:val="24"/>
          <w:szCs w:val="24"/>
        </w:rPr>
        <w:t xml:space="preserve"> and achieve a lower middle income status by 2025.</w:t>
      </w:r>
      <w:r w:rsidRPr="00362E30">
        <w:rPr>
          <w:rFonts w:ascii="Garamond" w:hAnsi="Garamond"/>
          <w:sz w:val="24"/>
          <w:szCs w:val="24"/>
        </w:rPr>
        <w:t xml:space="preserve"> Economic goals include raising productivity in agriculture, improving social services, promoting industrial development, and filling significant </w:t>
      </w:r>
      <w:r>
        <w:rPr>
          <w:rFonts w:ascii="Garamond" w:hAnsi="Garamond"/>
          <w:sz w:val="24"/>
          <w:szCs w:val="24"/>
        </w:rPr>
        <w:t xml:space="preserve">infrastructural </w:t>
      </w:r>
      <w:r w:rsidRPr="00362E30">
        <w:rPr>
          <w:rFonts w:ascii="Garamond" w:hAnsi="Garamond"/>
          <w:sz w:val="24"/>
          <w:szCs w:val="24"/>
        </w:rPr>
        <w:t>gaps in power, transportation (both road and rail</w:t>
      </w:r>
      <w:r>
        <w:rPr>
          <w:rFonts w:ascii="Garamond" w:hAnsi="Garamond"/>
          <w:sz w:val="24"/>
          <w:szCs w:val="24"/>
        </w:rPr>
        <w:t>way</w:t>
      </w:r>
      <w:r w:rsidRPr="00362E30">
        <w:rPr>
          <w:rFonts w:ascii="Garamond" w:hAnsi="Garamond"/>
          <w:sz w:val="24"/>
          <w:szCs w:val="24"/>
        </w:rPr>
        <w:t>) and telecommunications</w:t>
      </w:r>
      <w:r>
        <w:rPr>
          <w:rFonts w:ascii="Garamond" w:hAnsi="Garamond"/>
          <w:sz w:val="24"/>
          <w:szCs w:val="24"/>
        </w:rPr>
        <w:t xml:space="preserve">. </w:t>
      </w:r>
      <w:r>
        <w:rPr>
          <w:rFonts w:ascii="Garamond" w:hAnsi="Garamond" w:cs="Arial"/>
          <w:sz w:val="24"/>
          <w:szCs w:val="24"/>
        </w:rPr>
        <w:t>In doing so, t</w:t>
      </w:r>
      <w:r w:rsidRPr="00362E30">
        <w:rPr>
          <w:rFonts w:ascii="Garamond" w:hAnsi="Garamond" w:cs="Times"/>
          <w:sz w:val="24"/>
          <w:szCs w:val="24"/>
        </w:rPr>
        <w:t xml:space="preserve">he Government of Ethiopia </w:t>
      </w:r>
      <w:r>
        <w:rPr>
          <w:rFonts w:ascii="Garamond" w:hAnsi="Garamond" w:cs="Times"/>
          <w:sz w:val="24"/>
          <w:szCs w:val="24"/>
        </w:rPr>
        <w:t>has determined to deepen and enhance r</w:t>
      </w:r>
      <w:r w:rsidRPr="00362E30">
        <w:rPr>
          <w:rFonts w:ascii="Garamond" w:hAnsi="Garamond" w:cs="Times"/>
          <w:sz w:val="24"/>
          <w:szCs w:val="24"/>
        </w:rPr>
        <w:t>apid growth and structural transformation, with net-zero GHG emission growth trajector</w:t>
      </w:r>
      <w:r>
        <w:rPr>
          <w:rFonts w:ascii="Garamond" w:hAnsi="Garamond" w:cs="Times"/>
          <w:sz w:val="24"/>
          <w:szCs w:val="24"/>
        </w:rPr>
        <w:t>y</w:t>
      </w:r>
      <w:r w:rsidRPr="00362E30">
        <w:rPr>
          <w:rFonts w:ascii="Garamond" w:hAnsi="Garamond" w:cs="Times"/>
          <w:sz w:val="24"/>
          <w:szCs w:val="24"/>
        </w:rPr>
        <w:t xml:space="preserve">, while simultaneously building the resilience of the economy to climate shocks. </w:t>
      </w:r>
      <w:r>
        <w:rPr>
          <w:rFonts w:ascii="Garamond" w:hAnsi="Garamond"/>
          <w:sz w:val="24"/>
          <w:szCs w:val="24"/>
        </w:rPr>
        <w:t>The main planning instruments are a series of development plans including the first generation Growth and Transformation Plan (GTP-I)</w:t>
      </w:r>
      <w:r w:rsidR="00CA5D8E">
        <w:rPr>
          <w:rFonts w:ascii="Garamond" w:hAnsi="Garamond"/>
          <w:sz w:val="24"/>
          <w:szCs w:val="24"/>
        </w:rPr>
        <w:t xml:space="preserve"> (2010/11-2014/15)</w:t>
      </w:r>
      <w:r>
        <w:rPr>
          <w:rFonts w:ascii="Garamond" w:hAnsi="Garamond"/>
          <w:sz w:val="24"/>
          <w:szCs w:val="24"/>
        </w:rPr>
        <w:t xml:space="preserve"> (MoFED, 2010) and the second generation of Growth and Transformation Plan (GTP-II)</w:t>
      </w:r>
      <w:r w:rsidR="00CA5D8E">
        <w:rPr>
          <w:rFonts w:ascii="Garamond" w:hAnsi="Garamond"/>
          <w:sz w:val="24"/>
          <w:szCs w:val="24"/>
        </w:rPr>
        <w:t xml:space="preserve"> (2015/16-2019/20)</w:t>
      </w:r>
      <w:r>
        <w:rPr>
          <w:rFonts w:ascii="Garamond" w:hAnsi="Garamond"/>
          <w:sz w:val="24"/>
          <w:szCs w:val="24"/>
        </w:rPr>
        <w:t xml:space="preserve"> (NPC, 2015). Most of the measures mandated under the GTP-I and II require </w:t>
      </w:r>
      <w:r w:rsidR="00CA5D8E">
        <w:rPr>
          <w:rFonts w:ascii="Garamond" w:hAnsi="Garamond"/>
          <w:sz w:val="24"/>
          <w:szCs w:val="24"/>
        </w:rPr>
        <w:t xml:space="preserve">huge </w:t>
      </w:r>
      <w:r>
        <w:rPr>
          <w:rFonts w:ascii="Garamond" w:hAnsi="Garamond"/>
          <w:sz w:val="24"/>
          <w:szCs w:val="24"/>
        </w:rPr>
        <w:t>public sector fiscal resources (either in terms of spending requirements or the foregoing of revenue in the case of incentives).</w:t>
      </w:r>
      <w:r>
        <w:rPr>
          <w:rStyle w:val="FootnoteReference"/>
          <w:rFonts w:ascii="Garamond" w:hAnsi="Garamond"/>
          <w:sz w:val="24"/>
          <w:szCs w:val="24"/>
        </w:rPr>
        <w:footnoteReference w:id="1"/>
      </w:r>
      <w:r w:rsidRPr="00157B6E">
        <w:rPr>
          <w:rFonts w:ascii="Garamond" w:hAnsi="Garamond" w:cs="Times"/>
          <w:sz w:val="24"/>
          <w:szCs w:val="24"/>
        </w:rPr>
        <w:t xml:space="preserve"> </w:t>
      </w:r>
    </w:p>
    <w:p w:rsidR="007B44BA" w:rsidRDefault="007B44BA" w:rsidP="00C26A15">
      <w:pPr>
        <w:autoSpaceDE w:val="0"/>
        <w:autoSpaceDN w:val="0"/>
        <w:adjustRightInd w:val="0"/>
        <w:spacing w:after="0" w:line="240" w:lineRule="auto"/>
        <w:jc w:val="both"/>
        <w:rPr>
          <w:rFonts w:ascii="Garamond" w:hAnsi="Garamond" w:cs="Times"/>
          <w:sz w:val="24"/>
          <w:szCs w:val="24"/>
        </w:rPr>
      </w:pPr>
    </w:p>
    <w:p w:rsidR="006F2EF3" w:rsidRDefault="006F2EF3" w:rsidP="00C26A15">
      <w:pPr>
        <w:spacing w:after="0" w:line="240" w:lineRule="auto"/>
        <w:jc w:val="both"/>
        <w:rPr>
          <w:rFonts w:ascii="Garamond" w:hAnsi="Garamond" w:cs="Times"/>
          <w:sz w:val="24"/>
          <w:szCs w:val="24"/>
        </w:rPr>
      </w:pPr>
      <w:r w:rsidRPr="00764EFC">
        <w:rPr>
          <w:rFonts w:ascii="Garamond" w:hAnsi="Garamond"/>
          <w:sz w:val="24"/>
          <w:szCs w:val="24"/>
        </w:rPr>
        <w:t xml:space="preserve">In 2015, </w:t>
      </w:r>
      <w:r w:rsidR="00624561">
        <w:rPr>
          <w:rFonts w:ascii="Garamond" w:hAnsi="Garamond"/>
          <w:sz w:val="24"/>
          <w:szCs w:val="24"/>
        </w:rPr>
        <w:t xml:space="preserve">the global community made </w:t>
      </w:r>
      <w:r w:rsidRPr="00764EFC">
        <w:rPr>
          <w:rFonts w:ascii="Garamond" w:hAnsi="Garamond"/>
          <w:sz w:val="24"/>
          <w:szCs w:val="24"/>
        </w:rPr>
        <w:t>three major international and transformative agreements</w:t>
      </w:r>
      <w:r w:rsidR="00624561">
        <w:rPr>
          <w:rFonts w:ascii="Garamond" w:hAnsi="Garamond"/>
          <w:sz w:val="24"/>
          <w:szCs w:val="24"/>
        </w:rPr>
        <w:t xml:space="preserve"> </w:t>
      </w:r>
      <w:r w:rsidRPr="00764EFC">
        <w:rPr>
          <w:rFonts w:ascii="Garamond" w:hAnsi="Garamond"/>
          <w:sz w:val="24"/>
          <w:szCs w:val="24"/>
        </w:rPr>
        <w:t xml:space="preserve">including the Addis Ababa Action Agenda (AAAA) </w:t>
      </w:r>
      <w:r w:rsidR="00727204">
        <w:rPr>
          <w:rFonts w:ascii="Garamond" w:hAnsi="Garamond"/>
          <w:sz w:val="24"/>
          <w:szCs w:val="24"/>
        </w:rPr>
        <w:t xml:space="preserve">(or Addis Agenda) </w:t>
      </w:r>
      <w:r w:rsidRPr="00764EFC">
        <w:rPr>
          <w:rFonts w:ascii="Garamond" w:hAnsi="Garamond"/>
          <w:sz w:val="24"/>
          <w:szCs w:val="24"/>
        </w:rPr>
        <w:t>on Financing for Development</w:t>
      </w:r>
      <w:r>
        <w:rPr>
          <w:rFonts w:ascii="Garamond" w:hAnsi="Garamond"/>
          <w:sz w:val="24"/>
          <w:szCs w:val="24"/>
        </w:rPr>
        <w:t xml:space="preserve"> (FfD)</w:t>
      </w:r>
      <w:r w:rsidRPr="00764EFC">
        <w:rPr>
          <w:rFonts w:ascii="Garamond" w:hAnsi="Garamond"/>
          <w:sz w:val="24"/>
          <w:szCs w:val="24"/>
        </w:rPr>
        <w:t xml:space="preserve">, the 2030 </w:t>
      </w:r>
      <w:r w:rsidR="005C5AE7" w:rsidRPr="00764EFC">
        <w:rPr>
          <w:rFonts w:ascii="Garamond" w:hAnsi="Garamond"/>
          <w:sz w:val="24"/>
          <w:szCs w:val="24"/>
        </w:rPr>
        <w:t xml:space="preserve">Agenda </w:t>
      </w:r>
      <w:r w:rsidRPr="00764EFC">
        <w:rPr>
          <w:rFonts w:ascii="Garamond" w:hAnsi="Garamond"/>
          <w:sz w:val="24"/>
          <w:szCs w:val="24"/>
        </w:rPr>
        <w:t>for Sustainable Development</w:t>
      </w:r>
      <w:r w:rsidR="00CA5D8E">
        <w:rPr>
          <w:rFonts w:ascii="Garamond" w:hAnsi="Garamond"/>
          <w:sz w:val="24"/>
          <w:szCs w:val="24"/>
        </w:rPr>
        <w:t xml:space="preserve"> (or sustainable development goals)</w:t>
      </w:r>
      <w:r w:rsidRPr="00764EFC">
        <w:rPr>
          <w:rFonts w:ascii="Garamond" w:hAnsi="Garamond"/>
          <w:sz w:val="24"/>
          <w:szCs w:val="24"/>
        </w:rPr>
        <w:t>, and the Paris Agreement on Climate Change (Khan, 2016</w:t>
      </w:r>
      <w:r>
        <w:rPr>
          <w:rFonts w:ascii="Garamond" w:hAnsi="Garamond"/>
          <w:sz w:val="24"/>
          <w:szCs w:val="24"/>
        </w:rPr>
        <w:t>; OECD, 2016</w:t>
      </w:r>
      <w:r w:rsidRPr="00764EFC">
        <w:rPr>
          <w:rFonts w:ascii="Garamond" w:hAnsi="Garamond"/>
          <w:sz w:val="24"/>
          <w:szCs w:val="24"/>
        </w:rPr>
        <w:t>).</w:t>
      </w:r>
      <w:r>
        <w:t xml:space="preserve"> </w:t>
      </w:r>
      <w:r w:rsidRPr="00BF7904">
        <w:rPr>
          <w:rFonts w:ascii="Garamond" w:hAnsi="Garamond" w:cs="Times"/>
          <w:sz w:val="24"/>
          <w:szCs w:val="24"/>
        </w:rPr>
        <w:t xml:space="preserve">The Government of Ethiopia </w:t>
      </w:r>
      <w:r>
        <w:rPr>
          <w:rFonts w:ascii="Garamond" w:hAnsi="Garamond" w:cs="Times"/>
          <w:sz w:val="24"/>
          <w:szCs w:val="24"/>
        </w:rPr>
        <w:t>has renewed its commitment</w:t>
      </w:r>
      <w:r w:rsidRPr="00BF7904">
        <w:rPr>
          <w:rFonts w:ascii="Garamond" w:hAnsi="Garamond" w:cs="Times"/>
          <w:sz w:val="24"/>
          <w:szCs w:val="24"/>
        </w:rPr>
        <w:t xml:space="preserve"> to ensure </w:t>
      </w:r>
      <w:r>
        <w:rPr>
          <w:rFonts w:ascii="Garamond" w:hAnsi="Garamond" w:cs="Times"/>
          <w:sz w:val="24"/>
          <w:szCs w:val="24"/>
        </w:rPr>
        <w:t xml:space="preserve">the </w:t>
      </w:r>
      <w:r w:rsidRPr="00BF7904">
        <w:rPr>
          <w:rFonts w:ascii="Garamond" w:hAnsi="Garamond" w:cs="Times"/>
          <w:sz w:val="24"/>
          <w:szCs w:val="24"/>
        </w:rPr>
        <w:t xml:space="preserve">effective implementation </w:t>
      </w:r>
      <w:r>
        <w:rPr>
          <w:rFonts w:ascii="Garamond" w:hAnsi="Garamond" w:cs="Times"/>
          <w:sz w:val="24"/>
          <w:szCs w:val="24"/>
        </w:rPr>
        <w:t>and</w:t>
      </w:r>
      <w:r w:rsidRPr="00BF7904">
        <w:rPr>
          <w:rFonts w:ascii="Garamond" w:hAnsi="Garamond" w:cs="Times"/>
          <w:sz w:val="24"/>
          <w:szCs w:val="24"/>
        </w:rPr>
        <w:t xml:space="preserve"> achievement of the</w:t>
      </w:r>
      <w:r>
        <w:rPr>
          <w:rFonts w:ascii="Garamond" w:hAnsi="Garamond" w:cs="Times"/>
          <w:sz w:val="24"/>
          <w:szCs w:val="24"/>
        </w:rPr>
        <w:t>se agreements</w:t>
      </w:r>
      <w:r w:rsidRPr="00BF7904">
        <w:rPr>
          <w:rFonts w:ascii="Garamond" w:hAnsi="Garamond" w:cs="Times"/>
          <w:sz w:val="24"/>
          <w:szCs w:val="24"/>
        </w:rPr>
        <w:t xml:space="preserve">. </w:t>
      </w:r>
      <w:r>
        <w:rPr>
          <w:rFonts w:ascii="Garamond" w:hAnsi="Garamond" w:cs="Tahoma"/>
          <w:sz w:val="24"/>
          <w:szCs w:val="24"/>
        </w:rPr>
        <w:t>The realization of the sustain</w:t>
      </w:r>
      <w:r w:rsidRPr="005B7021">
        <w:rPr>
          <w:rFonts w:ascii="Garamond" w:hAnsi="Garamond" w:cs="Tahoma"/>
          <w:sz w:val="24"/>
          <w:szCs w:val="24"/>
        </w:rPr>
        <w:t>able development goals (SDGs) and targ</w:t>
      </w:r>
      <w:r>
        <w:rPr>
          <w:rFonts w:ascii="Garamond" w:hAnsi="Garamond" w:cs="Tahoma"/>
          <w:sz w:val="24"/>
          <w:szCs w:val="24"/>
        </w:rPr>
        <w:t xml:space="preserve">ets crucially depends on </w:t>
      </w:r>
      <w:r w:rsidR="00C65DAB">
        <w:rPr>
          <w:rFonts w:ascii="Garamond" w:hAnsi="Garamond" w:cs="Tahoma"/>
          <w:sz w:val="24"/>
          <w:szCs w:val="24"/>
        </w:rPr>
        <w:t xml:space="preserve">the effective </w:t>
      </w:r>
      <w:r w:rsidRPr="005B7021">
        <w:rPr>
          <w:rFonts w:ascii="Garamond" w:hAnsi="Garamond" w:cs="Tahoma"/>
          <w:sz w:val="24"/>
          <w:szCs w:val="24"/>
        </w:rPr>
        <w:t xml:space="preserve">implementation of the </w:t>
      </w:r>
      <w:r w:rsidRPr="001B40C3">
        <w:rPr>
          <w:rFonts w:ascii="Garamond" w:hAnsi="Garamond" w:cs="ACaslonPro-Regular"/>
          <w:sz w:val="24"/>
          <w:szCs w:val="24"/>
        </w:rPr>
        <w:t>Addis Ababa Action Agenda (AAAA)</w:t>
      </w:r>
      <w:r>
        <w:rPr>
          <w:rFonts w:ascii="Garamond" w:hAnsi="Garamond" w:cs="ACaslonPro-Regular"/>
          <w:sz w:val="24"/>
          <w:szCs w:val="24"/>
        </w:rPr>
        <w:t xml:space="preserve"> and</w:t>
      </w:r>
      <w:r>
        <w:rPr>
          <w:rFonts w:ascii="Garamond" w:hAnsi="Garamond" w:cs="Times"/>
          <w:sz w:val="24"/>
          <w:szCs w:val="24"/>
        </w:rPr>
        <w:t xml:space="preserve"> the Government of Ethiopia</w:t>
      </w:r>
      <w:r w:rsidRPr="00BF7904">
        <w:rPr>
          <w:rFonts w:ascii="Garamond" w:hAnsi="Garamond" w:cs="Times"/>
          <w:sz w:val="24"/>
          <w:szCs w:val="24"/>
        </w:rPr>
        <w:t xml:space="preserve"> has ad</w:t>
      </w:r>
      <w:r>
        <w:rPr>
          <w:rFonts w:ascii="Garamond" w:hAnsi="Garamond" w:cs="Times"/>
          <w:sz w:val="24"/>
          <w:szCs w:val="24"/>
        </w:rPr>
        <w:t>o</w:t>
      </w:r>
      <w:r w:rsidRPr="00BF7904">
        <w:rPr>
          <w:rFonts w:ascii="Garamond" w:hAnsi="Garamond" w:cs="Times"/>
          <w:sz w:val="24"/>
          <w:szCs w:val="24"/>
        </w:rPr>
        <w:t xml:space="preserve">pted various aspects and principles of </w:t>
      </w:r>
      <w:r w:rsidR="0041388A">
        <w:rPr>
          <w:rFonts w:ascii="Garamond" w:hAnsi="Garamond" w:cs="Times"/>
          <w:sz w:val="24"/>
          <w:szCs w:val="24"/>
        </w:rPr>
        <w:t>the AAAA</w:t>
      </w:r>
      <w:r w:rsidR="00CA5D8E">
        <w:rPr>
          <w:rFonts w:ascii="Garamond" w:hAnsi="Garamond" w:cs="Times"/>
          <w:sz w:val="24"/>
          <w:szCs w:val="24"/>
        </w:rPr>
        <w:t xml:space="preserve"> </w:t>
      </w:r>
      <w:r w:rsidRPr="00BF7904">
        <w:rPr>
          <w:rFonts w:ascii="Garamond" w:hAnsi="Garamond" w:cs="Times"/>
          <w:sz w:val="24"/>
          <w:szCs w:val="24"/>
        </w:rPr>
        <w:t>in its national strategies to ensure the mobilization of the various means of implementation required for the achievement of SDGs.</w:t>
      </w:r>
      <w:r>
        <w:rPr>
          <w:rFonts w:ascii="Garamond" w:hAnsi="Garamond" w:cs="Times"/>
          <w:sz w:val="24"/>
          <w:szCs w:val="24"/>
        </w:rPr>
        <w:t xml:space="preserve"> </w:t>
      </w:r>
    </w:p>
    <w:p w:rsidR="006F2EF3" w:rsidRDefault="006F2EF3" w:rsidP="00C26A15">
      <w:pPr>
        <w:spacing w:after="0" w:line="240" w:lineRule="auto"/>
        <w:jc w:val="both"/>
        <w:rPr>
          <w:rFonts w:ascii="Garamond" w:hAnsi="Garamond" w:cs="Tahoma"/>
          <w:sz w:val="24"/>
          <w:szCs w:val="24"/>
        </w:rPr>
      </w:pPr>
    </w:p>
    <w:p w:rsidR="006F2EF3" w:rsidRDefault="006F2EF3" w:rsidP="00C26A15">
      <w:pPr>
        <w:spacing w:after="0" w:line="240" w:lineRule="auto"/>
        <w:jc w:val="both"/>
        <w:rPr>
          <w:rFonts w:ascii="Garamond" w:hAnsi="Garamond" w:cs="Leelawadee UI"/>
          <w:sz w:val="24"/>
          <w:szCs w:val="24"/>
        </w:rPr>
      </w:pPr>
      <w:r w:rsidRPr="00362E30">
        <w:rPr>
          <w:rFonts w:ascii="Garamond" w:hAnsi="Garamond" w:cs="Times"/>
          <w:sz w:val="24"/>
          <w:szCs w:val="24"/>
        </w:rPr>
        <w:lastRenderedPageBreak/>
        <w:t>Reflecting the country’s commitment to national</w:t>
      </w:r>
      <w:r>
        <w:rPr>
          <w:rFonts w:ascii="Garamond" w:hAnsi="Garamond" w:cs="Times"/>
          <w:sz w:val="24"/>
          <w:szCs w:val="24"/>
        </w:rPr>
        <w:t>, regional</w:t>
      </w:r>
      <w:r w:rsidRPr="00362E30">
        <w:rPr>
          <w:rFonts w:ascii="Garamond" w:hAnsi="Garamond" w:cs="Times"/>
          <w:sz w:val="24"/>
          <w:szCs w:val="24"/>
        </w:rPr>
        <w:t xml:space="preserve"> and global goals, Ethiopia has mainstreamed </w:t>
      </w:r>
      <w:r>
        <w:rPr>
          <w:rFonts w:ascii="Garamond" w:hAnsi="Garamond" w:cs="Times"/>
          <w:sz w:val="24"/>
          <w:szCs w:val="24"/>
        </w:rPr>
        <w:t xml:space="preserve">both SDGs and </w:t>
      </w:r>
      <w:r w:rsidR="0041388A">
        <w:rPr>
          <w:rFonts w:ascii="Garamond" w:hAnsi="Garamond" w:cs="Times"/>
          <w:sz w:val="24"/>
          <w:szCs w:val="24"/>
        </w:rPr>
        <w:t>the climate resilient green economy (</w:t>
      </w:r>
      <w:r w:rsidRPr="00362E30">
        <w:rPr>
          <w:rFonts w:ascii="Garamond" w:hAnsi="Garamond" w:cs="Times"/>
          <w:sz w:val="24"/>
          <w:szCs w:val="24"/>
        </w:rPr>
        <w:t>CRGE</w:t>
      </w:r>
      <w:r w:rsidR="0041388A">
        <w:rPr>
          <w:rFonts w:ascii="Garamond" w:hAnsi="Garamond" w:cs="Times"/>
          <w:sz w:val="24"/>
          <w:szCs w:val="24"/>
        </w:rPr>
        <w:t>)</w:t>
      </w:r>
      <w:r w:rsidRPr="00362E30">
        <w:rPr>
          <w:rFonts w:ascii="Garamond" w:hAnsi="Garamond" w:cs="Times"/>
          <w:sz w:val="24"/>
          <w:szCs w:val="24"/>
        </w:rPr>
        <w:t xml:space="preserve"> strategy into its second generation growth and transformation plan (GTP-II). This ensures that </w:t>
      </w:r>
      <w:r>
        <w:rPr>
          <w:rFonts w:ascii="Garamond" w:hAnsi="Garamond" w:cs="Times"/>
          <w:sz w:val="24"/>
          <w:szCs w:val="24"/>
        </w:rPr>
        <w:t xml:space="preserve">SDGs and </w:t>
      </w:r>
      <w:r w:rsidRPr="00362E30">
        <w:rPr>
          <w:rFonts w:ascii="Garamond" w:hAnsi="Garamond" w:cs="Times"/>
          <w:sz w:val="24"/>
          <w:szCs w:val="24"/>
        </w:rPr>
        <w:t xml:space="preserve">CRGE initiative </w:t>
      </w:r>
      <w:r>
        <w:rPr>
          <w:rFonts w:ascii="Garamond" w:hAnsi="Garamond" w:cs="Times"/>
          <w:sz w:val="24"/>
          <w:szCs w:val="24"/>
        </w:rPr>
        <w:t>are p</w:t>
      </w:r>
      <w:r w:rsidRPr="00362E30">
        <w:rPr>
          <w:rFonts w:ascii="Garamond" w:hAnsi="Garamond" w:cs="Times"/>
          <w:sz w:val="24"/>
          <w:szCs w:val="24"/>
        </w:rPr>
        <w:t xml:space="preserve">art of a comprehensive national plan for public investments as well as the legal and institutional reforms necessary to create an enabling environment for private sector and community engagement. It also provides essential prominence to measures designed to promote </w:t>
      </w:r>
      <w:r>
        <w:rPr>
          <w:rFonts w:ascii="Garamond" w:hAnsi="Garamond" w:cs="Times"/>
          <w:sz w:val="24"/>
          <w:szCs w:val="24"/>
        </w:rPr>
        <w:t xml:space="preserve">the three dimensions of </w:t>
      </w:r>
      <w:r w:rsidRPr="00362E30">
        <w:rPr>
          <w:rFonts w:ascii="Garamond" w:hAnsi="Garamond" w:cs="Times"/>
          <w:sz w:val="24"/>
          <w:szCs w:val="24"/>
        </w:rPr>
        <w:t xml:space="preserve">sustainable </w:t>
      </w:r>
      <w:r>
        <w:rPr>
          <w:rFonts w:ascii="Garamond" w:hAnsi="Garamond" w:cs="Times"/>
          <w:sz w:val="24"/>
          <w:szCs w:val="24"/>
        </w:rPr>
        <w:t>development: economic, social and environment</w:t>
      </w:r>
      <w:r w:rsidRPr="00362E30">
        <w:rPr>
          <w:rFonts w:ascii="Garamond" w:hAnsi="Garamond" w:cs="Times"/>
          <w:sz w:val="24"/>
          <w:szCs w:val="24"/>
        </w:rPr>
        <w:t>.</w:t>
      </w:r>
      <w:r>
        <w:rPr>
          <w:rFonts w:ascii="Garamond" w:hAnsi="Garamond" w:cs="Times"/>
          <w:sz w:val="24"/>
          <w:szCs w:val="24"/>
        </w:rPr>
        <w:t xml:space="preserve"> </w:t>
      </w:r>
      <w:r w:rsidR="0041388A">
        <w:rPr>
          <w:rFonts w:ascii="Garamond" w:hAnsi="Garamond" w:cs="Times"/>
          <w:sz w:val="24"/>
          <w:szCs w:val="24"/>
        </w:rPr>
        <w:t xml:space="preserve">As indicated in the CRGE strategy, </w:t>
      </w:r>
      <w:r w:rsidRPr="00205BCD">
        <w:rPr>
          <w:rFonts w:ascii="Garamond" w:hAnsi="Garamond" w:cs="Leelawadee UI"/>
          <w:sz w:val="24"/>
          <w:szCs w:val="24"/>
        </w:rPr>
        <w:t xml:space="preserve">Ethiopia requires expenditure of </w:t>
      </w:r>
      <w:r>
        <w:rPr>
          <w:rFonts w:ascii="Garamond" w:hAnsi="Garamond" w:cs="Leelawadee UI"/>
          <w:sz w:val="24"/>
          <w:szCs w:val="24"/>
        </w:rPr>
        <w:t>over US</w:t>
      </w:r>
      <w:r w:rsidR="007B44BA">
        <w:rPr>
          <w:rFonts w:ascii="Garamond" w:hAnsi="Garamond" w:cs="Leelawadee UI"/>
          <w:sz w:val="24"/>
          <w:szCs w:val="24"/>
        </w:rPr>
        <w:t>D</w:t>
      </w:r>
      <w:r w:rsidRPr="00205BCD">
        <w:rPr>
          <w:rFonts w:ascii="Garamond" w:hAnsi="Garamond" w:cs="Leelawadee UI"/>
          <w:sz w:val="24"/>
          <w:szCs w:val="24"/>
        </w:rPr>
        <w:t xml:space="preserve">150 billion in order to realize its vision of building a low-carbon and climate resilient </w:t>
      </w:r>
      <w:r w:rsidR="005365D6">
        <w:rPr>
          <w:rFonts w:ascii="Garamond" w:hAnsi="Garamond" w:cs="Leelawadee UI"/>
          <w:sz w:val="24"/>
          <w:szCs w:val="24"/>
        </w:rPr>
        <w:t xml:space="preserve">a lower </w:t>
      </w:r>
      <w:r w:rsidRPr="00205BCD">
        <w:rPr>
          <w:rFonts w:ascii="Garamond" w:hAnsi="Garamond" w:cs="Leelawadee UI"/>
          <w:sz w:val="24"/>
          <w:szCs w:val="24"/>
        </w:rPr>
        <w:t>middle income country status by 2025</w:t>
      </w:r>
      <w:r>
        <w:rPr>
          <w:rFonts w:ascii="Garamond" w:hAnsi="Garamond" w:cs="Leelawadee UI"/>
          <w:sz w:val="24"/>
          <w:szCs w:val="24"/>
        </w:rPr>
        <w:t>. In other words, Ethiopia should invest over USD</w:t>
      </w:r>
      <w:r w:rsidRPr="00205BCD">
        <w:rPr>
          <w:rFonts w:ascii="Garamond" w:hAnsi="Garamond" w:cs="Leelawadee UI"/>
          <w:sz w:val="24"/>
          <w:szCs w:val="24"/>
        </w:rPr>
        <w:t xml:space="preserve">7.5 billion </w:t>
      </w:r>
      <w:r>
        <w:rPr>
          <w:rFonts w:ascii="Garamond" w:hAnsi="Garamond" w:cs="Leelawadee UI"/>
          <w:sz w:val="24"/>
          <w:szCs w:val="24"/>
        </w:rPr>
        <w:t xml:space="preserve">annually </w:t>
      </w:r>
      <w:r w:rsidRPr="00205BCD">
        <w:rPr>
          <w:rFonts w:ascii="Garamond" w:hAnsi="Garamond" w:cs="Leelawadee UI"/>
          <w:sz w:val="24"/>
          <w:szCs w:val="24"/>
        </w:rPr>
        <w:t>to make the economy climate smart and ensure the sustainability of economic growth.</w:t>
      </w:r>
      <w:r>
        <w:rPr>
          <w:rStyle w:val="FootnoteReference"/>
          <w:rFonts w:ascii="Garamond" w:hAnsi="Garamond" w:cs="Leelawadee UI"/>
          <w:sz w:val="24"/>
          <w:szCs w:val="24"/>
        </w:rPr>
        <w:footnoteReference w:id="2"/>
      </w:r>
      <w:r w:rsidRPr="00205BCD">
        <w:rPr>
          <w:rFonts w:ascii="Garamond" w:hAnsi="Garamond" w:cs="Leelawadee UI"/>
          <w:sz w:val="24"/>
          <w:szCs w:val="24"/>
        </w:rPr>
        <w:t xml:space="preserve"> </w:t>
      </w:r>
      <w:r>
        <w:rPr>
          <w:rFonts w:ascii="Garamond" w:hAnsi="Garamond" w:cs="Leelawadee UI"/>
          <w:sz w:val="24"/>
          <w:szCs w:val="24"/>
        </w:rPr>
        <w:t xml:space="preserve">This indicates that realizing </w:t>
      </w:r>
      <w:r w:rsidR="004621D6">
        <w:rPr>
          <w:rFonts w:ascii="Garamond" w:hAnsi="Garamond" w:cs="Leelawadee UI"/>
          <w:sz w:val="24"/>
          <w:szCs w:val="24"/>
        </w:rPr>
        <w:t xml:space="preserve">SDGs </w:t>
      </w:r>
      <w:r>
        <w:rPr>
          <w:rFonts w:ascii="Garamond" w:hAnsi="Garamond" w:cs="Leelawadee UI"/>
          <w:sz w:val="24"/>
          <w:szCs w:val="24"/>
        </w:rPr>
        <w:t>requires much more resources than that indicated in the CRGE strategy</w:t>
      </w:r>
      <w:r w:rsidR="005365D6">
        <w:rPr>
          <w:rFonts w:ascii="Garamond" w:hAnsi="Garamond" w:cs="Leelawadee UI"/>
          <w:sz w:val="24"/>
          <w:szCs w:val="24"/>
        </w:rPr>
        <w:t xml:space="preserve"> and this calls for </w:t>
      </w:r>
      <w:r w:rsidR="005365D6" w:rsidRPr="001C69CE">
        <w:rPr>
          <w:rFonts w:ascii="Garamond" w:hAnsi="Garamond"/>
          <w:sz w:val="24"/>
          <w:szCs w:val="24"/>
        </w:rPr>
        <w:t xml:space="preserve">the need to </w:t>
      </w:r>
      <w:r w:rsidR="0038676C">
        <w:rPr>
          <w:rFonts w:ascii="Garamond" w:hAnsi="Garamond"/>
          <w:sz w:val="24"/>
          <w:szCs w:val="24"/>
        </w:rPr>
        <w:t xml:space="preserve">identify </w:t>
      </w:r>
      <w:r w:rsidR="005365D6" w:rsidRPr="001C69CE">
        <w:rPr>
          <w:rFonts w:ascii="Garamond" w:hAnsi="Garamond"/>
          <w:sz w:val="24"/>
          <w:szCs w:val="24"/>
        </w:rPr>
        <w:t xml:space="preserve">current and future </w:t>
      </w:r>
      <w:r w:rsidR="005365D6">
        <w:rPr>
          <w:rFonts w:ascii="Garamond" w:hAnsi="Garamond"/>
          <w:sz w:val="24"/>
          <w:szCs w:val="24"/>
        </w:rPr>
        <w:t>f</w:t>
      </w:r>
      <w:r w:rsidR="005365D6" w:rsidRPr="001C69CE">
        <w:rPr>
          <w:rFonts w:ascii="Garamond" w:hAnsi="Garamond"/>
          <w:sz w:val="24"/>
          <w:szCs w:val="24"/>
        </w:rPr>
        <w:t xml:space="preserve">inancing </w:t>
      </w:r>
      <w:r w:rsidR="0038676C">
        <w:rPr>
          <w:rFonts w:ascii="Garamond" w:hAnsi="Garamond"/>
          <w:sz w:val="24"/>
          <w:szCs w:val="24"/>
        </w:rPr>
        <w:t xml:space="preserve">mechanisms </w:t>
      </w:r>
      <w:r w:rsidR="005365D6" w:rsidRPr="001C69CE">
        <w:rPr>
          <w:rFonts w:ascii="Garamond" w:hAnsi="Garamond"/>
          <w:sz w:val="24"/>
          <w:szCs w:val="24"/>
        </w:rPr>
        <w:t xml:space="preserve">for delivering SDGs. </w:t>
      </w:r>
      <w:r w:rsidR="005365D6">
        <w:rPr>
          <w:rFonts w:ascii="Garamond" w:hAnsi="Garamond"/>
          <w:sz w:val="24"/>
          <w:szCs w:val="24"/>
        </w:rPr>
        <w:t xml:space="preserve">Implementing SDGs </w:t>
      </w:r>
      <w:r w:rsidR="005365D6" w:rsidRPr="001C69CE">
        <w:rPr>
          <w:rFonts w:ascii="Garamond" w:hAnsi="Garamond"/>
          <w:sz w:val="24"/>
          <w:szCs w:val="24"/>
        </w:rPr>
        <w:t>requires both signi</w:t>
      </w:r>
      <w:r w:rsidR="005365D6">
        <w:rPr>
          <w:rFonts w:ascii="Garamond" w:hAnsi="Garamond"/>
          <w:sz w:val="24"/>
          <w:szCs w:val="24"/>
        </w:rPr>
        <w:t>f</w:t>
      </w:r>
      <w:r w:rsidR="005365D6" w:rsidRPr="001C69CE">
        <w:rPr>
          <w:rFonts w:ascii="Garamond" w:hAnsi="Garamond"/>
          <w:sz w:val="24"/>
          <w:szCs w:val="24"/>
        </w:rPr>
        <w:t xml:space="preserve">icant increases in resources </w:t>
      </w:r>
      <w:r w:rsidR="005365D6">
        <w:rPr>
          <w:rFonts w:ascii="Garamond" w:hAnsi="Garamond"/>
          <w:sz w:val="24"/>
          <w:szCs w:val="24"/>
        </w:rPr>
        <w:t xml:space="preserve">and </w:t>
      </w:r>
      <w:r w:rsidR="005365D6" w:rsidRPr="001C69CE">
        <w:rPr>
          <w:rFonts w:ascii="Garamond" w:hAnsi="Garamond"/>
          <w:sz w:val="24"/>
          <w:szCs w:val="24"/>
        </w:rPr>
        <w:t>changes in the way existing resources are used and prioritized, calling for more ef</w:t>
      </w:r>
      <w:r w:rsidR="005365D6">
        <w:rPr>
          <w:rFonts w:ascii="Garamond" w:hAnsi="Garamond"/>
          <w:sz w:val="24"/>
          <w:szCs w:val="24"/>
        </w:rPr>
        <w:t>f</w:t>
      </w:r>
      <w:r w:rsidR="005365D6" w:rsidRPr="001C69CE">
        <w:rPr>
          <w:rFonts w:ascii="Garamond" w:hAnsi="Garamond"/>
          <w:sz w:val="24"/>
          <w:szCs w:val="24"/>
        </w:rPr>
        <w:t xml:space="preserve">ective integrated approaches to managing public and private </w:t>
      </w:r>
      <w:r w:rsidR="005365D6">
        <w:rPr>
          <w:rFonts w:ascii="Garamond" w:hAnsi="Garamond"/>
          <w:sz w:val="24"/>
          <w:szCs w:val="24"/>
        </w:rPr>
        <w:t>f</w:t>
      </w:r>
      <w:r w:rsidR="005365D6" w:rsidRPr="001C69CE">
        <w:rPr>
          <w:rFonts w:ascii="Garamond" w:hAnsi="Garamond"/>
          <w:sz w:val="24"/>
          <w:szCs w:val="24"/>
        </w:rPr>
        <w:t>inance to achieve sustainable development.</w:t>
      </w:r>
    </w:p>
    <w:p w:rsidR="006F2EF3" w:rsidRDefault="006F2EF3" w:rsidP="00C26A15">
      <w:pPr>
        <w:spacing w:after="0" w:line="240" w:lineRule="auto"/>
        <w:jc w:val="both"/>
        <w:rPr>
          <w:rFonts w:ascii="Garamond" w:hAnsi="Garamond" w:cs="Times"/>
          <w:sz w:val="24"/>
          <w:szCs w:val="24"/>
        </w:rPr>
      </w:pPr>
    </w:p>
    <w:p w:rsidR="00BA072A" w:rsidRDefault="006F2EF3" w:rsidP="00C26A15">
      <w:pPr>
        <w:spacing w:after="0" w:line="240" w:lineRule="auto"/>
        <w:jc w:val="both"/>
        <w:rPr>
          <w:rFonts w:ascii="Garamond" w:hAnsi="Garamond" w:cs="Tahoma"/>
          <w:sz w:val="24"/>
          <w:szCs w:val="24"/>
        </w:rPr>
      </w:pPr>
      <w:r w:rsidRPr="00C941C5">
        <w:rPr>
          <w:rFonts w:ascii="Garamond" w:hAnsi="Garamond" w:cs="Tahoma"/>
          <w:sz w:val="24"/>
          <w:szCs w:val="24"/>
        </w:rPr>
        <w:t xml:space="preserve">The challenge, then, is how to mobilize and channel finance and technology towards sustainable development. A major task for policy-makers in financing </w:t>
      </w:r>
      <w:r w:rsidR="00851A5B">
        <w:rPr>
          <w:rFonts w:ascii="Garamond" w:hAnsi="Garamond" w:cs="Tahoma"/>
          <w:sz w:val="24"/>
          <w:szCs w:val="24"/>
        </w:rPr>
        <w:t>SDGs</w:t>
      </w:r>
      <w:r w:rsidRPr="00C941C5">
        <w:rPr>
          <w:rFonts w:ascii="Garamond" w:hAnsi="Garamond" w:cs="Tahoma"/>
          <w:sz w:val="24"/>
          <w:szCs w:val="24"/>
        </w:rPr>
        <w:t xml:space="preserve"> </w:t>
      </w:r>
      <w:r w:rsidR="00551A97">
        <w:rPr>
          <w:rFonts w:ascii="Garamond" w:hAnsi="Garamond" w:cs="Tahoma"/>
          <w:sz w:val="24"/>
          <w:szCs w:val="24"/>
        </w:rPr>
        <w:t xml:space="preserve">is </w:t>
      </w:r>
      <w:r w:rsidRPr="00C941C5">
        <w:rPr>
          <w:rFonts w:ascii="Garamond" w:hAnsi="Garamond" w:cs="Tahoma"/>
          <w:sz w:val="24"/>
          <w:szCs w:val="24"/>
        </w:rPr>
        <w:t>to devise financing solutions to attract and direct investments to areas where greater co-benefits and multiplier effects can be achieved.</w:t>
      </w:r>
      <w:r w:rsidRPr="00C941C5">
        <w:rPr>
          <w:rStyle w:val="FootnoteReference"/>
          <w:rFonts w:ascii="Garamond" w:hAnsi="Garamond" w:cs="Tahoma"/>
          <w:sz w:val="24"/>
          <w:szCs w:val="24"/>
        </w:rPr>
        <w:footnoteReference w:id="3"/>
      </w:r>
      <w:r>
        <w:rPr>
          <w:rFonts w:ascii="Garamond" w:hAnsi="Garamond" w:cs="Tahoma"/>
          <w:sz w:val="24"/>
          <w:szCs w:val="24"/>
        </w:rPr>
        <w:t xml:space="preserve"> </w:t>
      </w:r>
      <w:r w:rsidR="00C017D9" w:rsidRPr="00C017D9">
        <w:rPr>
          <w:rFonts w:ascii="Garamond" w:hAnsi="Garamond" w:cs="Tahoma"/>
          <w:sz w:val="24"/>
          <w:szCs w:val="24"/>
        </w:rPr>
        <w:t xml:space="preserve">A diverse financing “tool-box” may provide </w:t>
      </w:r>
      <w:r w:rsidR="000C3418">
        <w:rPr>
          <w:rFonts w:ascii="Garamond" w:hAnsi="Garamond" w:cs="Tahoma"/>
          <w:sz w:val="24"/>
          <w:szCs w:val="24"/>
        </w:rPr>
        <w:t xml:space="preserve">the country </w:t>
      </w:r>
      <w:r w:rsidR="00C017D9" w:rsidRPr="00C017D9">
        <w:rPr>
          <w:rFonts w:ascii="Garamond" w:hAnsi="Garamond" w:cs="Tahoma"/>
          <w:sz w:val="24"/>
          <w:szCs w:val="24"/>
        </w:rPr>
        <w:t>with new opportunities to leverage additional publi</w:t>
      </w:r>
      <w:r w:rsidR="00C017D9">
        <w:rPr>
          <w:rFonts w:ascii="Garamond" w:hAnsi="Garamond" w:cs="Tahoma"/>
          <w:sz w:val="24"/>
          <w:szCs w:val="24"/>
        </w:rPr>
        <w:t xml:space="preserve">c and private resources for </w:t>
      </w:r>
      <w:r w:rsidR="00F54896">
        <w:rPr>
          <w:rFonts w:ascii="Garamond" w:hAnsi="Garamond" w:cs="Tahoma"/>
          <w:sz w:val="24"/>
          <w:szCs w:val="24"/>
        </w:rPr>
        <w:t xml:space="preserve">financing </w:t>
      </w:r>
      <w:r w:rsidR="00C017D9">
        <w:rPr>
          <w:rFonts w:ascii="Garamond" w:hAnsi="Garamond" w:cs="Tahoma"/>
          <w:sz w:val="24"/>
          <w:szCs w:val="24"/>
        </w:rPr>
        <w:t>sus</w:t>
      </w:r>
      <w:r w:rsidR="000C3418">
        <w:rPr>
          <w:rFonts w:ascii="Garamond" w:hAnsi="Garamond" w:cs="Tahoma"/>
          <w:sz w:val="24"/>
          <w:szCs w:val="24"/>
        </w:rPr>
        <w:t xml:space="preserve">tainable development and </w:t>
      </w:r>
      <w:r w:rsidR="00C017D9" w:rsidRPr="00C017D9">
        <w:rPr>
          <w:rFonts w:ascii="Garamond" w:hAnsi="Garamond" w:cs="Tahoma"/>
          <w:sz w:val="24"/>
          <w:szCs w:val="24"/>
        </w:rPr>
        <w:t>manag</w:t>
      </w:r>
      <w:r w:rsidR="00F54896">
        <w:rPr>
          <w:rFonts w:ascii="Garamond" w:hAnsi="Garamond" w:cs="Tahoma"/>
          <w:sz w:val="24"/>
          <w:szCs w:val="24"/>
        </w:rPr>
        <w:t>ing</w:t>
      </w:r>
      <w:r w:rsidR="00C017D9" w:rsidRPr="00C017D9">
        <w:rPr>
          <w:rFonts w:ascii="Garamond" w:hAnsi="Garamond" w:cs="Tahoma"/>
          <w:sz w:val="24"/>
          <w:szCs w:val="24"/>
        </w:rPr>
        <w:t xml:space="preserve"> </w:t>
      </w:r>
      <w:r w:rsidR="000C3418">
        <w:rPr>
          <w:rFonts w:ascii="Garamond" w:hAnsi="Garamond" w:cs="Tahoma"/>
          <w:sz w:val="24"/>
          <w:szCs w:val="24"/>
        </w:rPr>
        <w:t>its v</w:t>
      </w:r>
      <w:r w:rsidR="00C017D9" w:rsidRPr="00C017D9">
        <w:rPr>
          <w:rFonts w:ascii="Garamond" w:hAnsi="Garamond" w:cs="Tahoma"/>
          <w:sz w:val="24"/>
          <w:szCs w:val="24"/>
        </w:rPr>
        <w:t>ulnerability</w:t>
      </w:r>
      <w:r w:rsidR="000C3418">
        <w:rPr>
          <w:rFonts w:ascii="Garamond" w:hAnsi="Garamond" w:cs="Tahoma"/>
          <w:sz w:val="24"/>
          <w:szCs w:val="24"/>
        </w:rPr>
        <w:t xml:space="preserve"> to climate change. T</w:t>
      </w:r>
      <w:r w:rsidR="000C3418" w:rsidRPr="000C3418">
        <w:rPr>
          <w:rFonts w:ascii="Garamond" w:hAnsi="Garamond" w:cs="Tahoma"/>
          <w:sz w:val="24"/>
          <w:szCs w:val="24"/>
        </w:rPr>
        <w:t>his f</w:t>
      </w:r>
      <w:r w:rsidR="000C3418">
        <w:rPr>
          <w:rFonts w:ascii="Garamond" w:hAnsi="Garamond" w:cs="Tahoma"/>
          <w:sz w:val="24"/>
          <w:szCs w:val="24"/>
        </w:rPr>
        <w:t>i</w:t>
      </w:r>
      <w:r w:rsidR="000C3418" w:rsidRPr="000C3418">
        <w:rPr>
          <w:rFonts w:ascii="Garamond" w:hAnsi="Garamond" w:cs="Tahoma"/>
          <w:sz w:val="24"/>
          <w:szCs w:val="24"/>
        </w:rPr>
        <w:t xml:space="preserve">nancing </w:t>
      </w:r>
      <w:r w:rsidR="000C3418">
        <w:rPr>
          <w:rFonts w:ascii="Garamond" w:hAnsi="Garamond" w:cs="Tahoma"/>
          <w:sz w:val="24"/>
          <w:szCs w:val="24"/>
        </w:rPr>
        <w:t>mechanism</w:t>
      </w:r>
      <w:r w:rsidR="00BA072A">
        <w:rPr>
          <w:rFonts w:ascii="Garamond" w:hAnsi="Garamond" w:cs="Tahoma"/>
          <w:sz w:val="24"/>
          <w:szCs w:val="24"/>
        </w:rPr>
        <w:t>s</w:t>
      </w:r>
      <w:r w:rsidR="000C3418">
        <w:rPr>
          <w:rFonts w:ascii="Garamond" w:hAnsi="Garamond" w:cs="Tahoma"/>
          <w:sz w:val="24"/>
          <w:szCs w:val="24"/>
        </w:rPr>
        <w:t xml:space="preserve"> need to be </w:t>
      </w:r>
      <w:r w:rsidR="000C3418" w:rsidRPr="000C3418">
        <w:rPr>
          <w:rFonts w:ascii="Garamond" w:hAnsi="Garamond" w:cs="Tahoma"/>
          <w:sz w:val="24"/>
          <w:szCs w:val="24"/>
        </w:rPr>
        <w:t>tailored to the specif</w:t>
      </w:r>
      <w:r w:rsidR="000C3418">
        <w:rPr>
          <w:rFonts w:ascii="Garamond" w:hAnsi="Garamond" w:cs="Tahoma"/>
          <w:sz w:val="24"/>
          <w:szCs w:val="24"/>
        </w:rPr>
        <w:t>i</w:t>
      </w:r>
      <w:r w:rsidR="000C3418" w:rsidRPr="000C3418">
        <w:rPr>
          <w:rFonts w:ascii="Garamond" w:hAnsi="Garamond" w:cs="Tahoma"/>
          <w:sz w:val="24"/>
          <w:szCs w:val="24"/>
        </w:rPr>
        <w:t xml:space="preserve">c needs and characteristics of </w:t>
      </w:r>
      <w:r w:rsidR="000C3418">
        <w:rPr>
          <w:rFonts w:ascii="Garamond" w:hAnsi="Garamond" w:cs="Tahoma"/>
          <w:sz w:val="24"/>
          <w:szCs w:val="24"/>
        </w:rPr>
        <w:t>the country</w:t>
      </w:r>
      <w:r w:rsidR="000C3418" w:rsidRPr="000C3418">
        <w:rPr>
          <w:rFonts w:ascii="Garamond" w:hAnsi="Garamond" w:cs="Tahoma"/>
          <w:sz w:val="24"/>
          <w:szCs w:val="24"/>
        </w:rPr>
        <w:t>.</w:t>
      </w:r>
      <w:r w:rsidR="006D527C">
        <w:rPr>
          <w:rFonts w:ascii="Garamond" w:hAnsi="Garamond" w:cs="Tahoma"/>
          <w:sz w:val="24"/>
          <w:szCs w:val="24"/>
        </w:rPr>
        <w:t xml:space="preserve"> </w:t>
      </w:r>
      <w:r w:rsidR="00BA072A">
        <w:rPr>
          <w:rFonts w:ascii="Garamond" w:hAnsi="Garamond" w:cs="Tahoma"/>
          <w:sz w:val="24"/>
          <w:szCs w:val="24"/>
        </w:rPr>
        <w:t>Of course, the extent of utilization of t</w:t>
      </w:r>
      <w:r w:rsidR="006D527C" w:rsidRPr="000C3418">
        <w:rPr>
          <w:rFonts w:ascii="Garamond" w:hAnsi="Garamond" w:cs="Tahoma"/>
          <w:sz w:val="24"/>
          <w:szCs w:val="24"/>
        </w:rPr>
        <w:t>hese</w:t>
      </w:r>
      <w:r w:rsidR="00BA072A">
        <w:rPr>
          <w:rFonts w:ascii="Garamond" w:hAnsi="Garamond" w:cs="Tahoma"/>
          <w:sz w:val="24"/>
          <w:szCs w:val="24"/>
        </w:rPr>
        <w:t xml:space="preserve"> financing </w:t>
      </w:r>
      <w:r w:rsidR="00BA072A" w:rsidRPr="000C3418">
        <w:rPr>
          <w:rFonts w:ascii="Garamond" w:hAnsi="Garamond" w:cs="Tahoma"/>
          <w:sz w:val="24"/>
          <w:szCs w:val="24"/>
        </w:rPr>
        <w:t>instruments</w:t>
      </w:r>
      <w:r w:rsidR="000C3418" w:rsidRPr="000C3418">
        <w:rPr>
          <w:rFonts w:ascii="Garamond" w:hAnsi="Garamond" w:cs="Tahoma"/>
          <w:sz w:val="24"/>
          <w:szCs w:val="24"/>
        </w:rPr>
        <w:t xml:space="preserve"> </w:t>
      </w:r>
      <w:r w:rsidR="00BA072A">
        <w:rPr>
          <w:rFonts w:ascii="Garamond" w:hAnsi="Garamond" w:cs="Tahoma"/>
          <w:sz w:val="24"/>
          <w:szCs w:val="24"/>
        </w:rPr>
        <w:t xml:space="preserve">depends on country’s </w:t>
      </w:r>
      <w:r w:rsidR="000C3418">
        <w:rPr>
          <w:rFonts w:ascii="Garamond" w:hAnsi="Garamond" w:cs="Tahoma"/>
          <w:sz w:val="24"/>
          <w:szCs w:val="24"/>
        </w:rPr>
        <w:t>capac</w:t>
      </w:r>
      <w:r w:rsidR="000C3418" w:rsidRPr="000C3418">
        <w:rPr>
          <w:rFonts w:ascii="Garamond" w:hAnsi="Garamond" w:cs="Tahoma"/>
          <w:sz w:val="24"/>
          <w:szCs w:val="24"/>
        </w:rPr>
        <w:t xml:space="preserve">ity to use and manage </w:t>
      </w:r>
      <w:r w:rsidR="00BA072A">
        <w:rPr>
          <w:rFonts w:ascii="Garamond" w:hAnsi="Garamond" w:cs="Tahoma"/>
          <w:sz w:val="24"/>
          <w:szCs w:val="24"/>
        </w:rPr>
        <w:t xml:space="preserve">these resources </w:t>
      </w:r>
      <w:r w:rsidR="00644056">
        <w:rPr>
          <w:rFonts w:ascii="Garamond" w:hAnsi="Garamond" w:cs="Tahoma"/>
          <w:sz w:val="24"/>
          <w:szCs w:val="24"/>
        </w:rPr>
        <w:t>effectively</w:t>
      </w:r>
      <w:r w:rsidR="00644056" w:rsidRPr="00902667">
        <w:rPr>
          <w:rFonts w:ascii="Garamond" w:hAnsi="Garamond" w:cs="Tahoma"/>
          <w:sz w:val="24"/>
          <w:szCs w:val="24"/>
        </w:rPr>
        <w:t xml:space="preserve"> </w:t>
      </w:r>
      <w:r w:rsidR="00902667" w:rsidRPr="00902667">
        <w:rPr>
          <w:rFonts w:ascii="Garamond" w:hAnsi="Garamond" w:cs="Tahoma"/>
          <w:sz w:val="24"/>
          <w:szCs w:val="24"/>
        </w:rPr>
        <w:t>to f</w:t>
      </w:r>
      <w:r w:rsidR="00902667">
        <w:rPr>
          <w:rFonts w:ascii="Garamond" w:hAnsi="Garamond" w:cs="Tahoma"/>
          <w:sz w:val="24"/>
          <w:szCs w:val="24"/>
        </w:rPr>
        <w:t>i</w:t>
      </w:r>
      <w:r w:rsidR="00902667" w:rsidRPr="00902667">
        <w:rPr>
          <w:rFonts w:ascii="Garamond" w:hAnsi="Garamond" w:cs="Tahoma"/>
          <w:sz w:val="24"/>
          <w:szCs w:val="24"/>
        </w:rPr>
        <w:t xml:space="preserve">nance </w:t>
      </w:r>
      <w:r w:rsidR="00902667">
        <w:rPr>
          <w:rFonts w:ascii="Garamond" w:hAnsi="Garamond" w:cs="Tahoma"/>
          <w:sz w:val="24"/>
          <w:szCs w:val="24"/>
        </w:rPr>
        <w:t>sustainable development and man</w:t>
      </w:r>
      <w:r w:rsidR="00902667" w:rsidRPr="00902667">
        <w:rPr>
          <w:rFonts w:ascii="Garamond" w:hAnsi="Garamond" w:cs="Tahoma"/>
          <w:sz w:val="24"/>
          <w:szCs w:val="24"/>
        </w:rPr>
        <w:t>age risks</w:t>
      </w:r>
      <w:r w:rsidR="00902667">
        <w:rPr>
          <w:rFonts w:ascii="Garamond" w:hAnsi="Garamond" w:cs="Tahoma"/>
          <w:sz w:val="24"/>
          <w:szCs w:val="24"/>
        </w:rPr>
        <w:t xml:space="preserve">. </w:t>
      </w:r>
    </w:p>
    <w:p w:rsidR="00251C4A" w:rsidRDefault="00251C4A" w:rsidP="00C26A15">
      <w:pPr>
        <w:spacing w:after="0" w:line="240" w:lineRule="auto"/>
        <w:jc w:val="both"/>
        <w:rPr>
          <w:rFonts w:ascii="Garamond" w:hAnsi="Garamond"/>
          <w:sz w:val="24"/>
          <w:szCs w:val="24"/>
        </w:rPr>
      </w:pPr>
    </w:p>
    <w:p w:rsidR="0051648E" w:rsidRDefault="006F2EF3" w:rsidP="0051648E">
      <w:pPr>
        <w:spacing w:after="0" w:line="240" w:lineRule="auto"/>
        <w:jc w:val="both"/>
        <w:rPr>
          <w:rFonts w:ascii="Garamond" w:hAnsi="Garamond" w:cs="Tahoma"/>
          <w:sz w:val="24"/>
          <w:szCs w:val="24"/>
        </w:rPr>
      </w:pPr>
      <w:r w:rsidRPr="00D71D81">
        <w:rPr>
          <w:rFonts w:ascii="Garamond" w:hAnsi="Garamond"/>
          <w:sz w:val="24"/>
          <w:szCs w:val="24"/>
        </w:rPr>
        <w:t xml:space="preserve">Following the adoption of the AAAA, development of a strong follow-up and review mechanism remains a high priority. </w:t>
      </w:r>
      <w:r>
        <w:rPr>
          <w:rFonts w:ascii="Garamond" w:hAnsi="Garamond" w:cs="Tahoma"/>
          <w:sz w:val="24"/>
          <w:szCs w:val="24"/>
        </w:rPr>
        <w:t>A</w:t>
      </w:r>
      <w:r w:rsidRPr="001E1759">
        <w:rPr>
          <w:rFonts w:ascii="Garamond" w:hAnsi="Garamond" w:cs="Tahoma"/>
          <w:sz w:val="24"/>
          <w:szCs w:val="24"/>
        </w:rPr>
        <w:t>t the 17</w:t>
      </w:r>
      <w:r w:rsidRPr="001E1759">
        <w:rPr>
          <w:rFonts w:ascii="Garamond" w:hAnsi="Garamond" w:cs="Tahoma"/>
          <w:sz w:val="24"/>
          <w:szCs w:val="24"/>
          <w:vertAlign w:val="superscript"/>
        </w:rPr>
        <w:t>th</w:t>
      </w:r>
      <w:r w:rsidRPr="001E1759">
        <w:rPr>
          <w:rFonts w:ascii="Garamond" w:hAnsi="Garamond" w:cs="Tahoma"/>
          <w:sz w:val="24"/>
          <w:szCs w:val="24"/>
        </w:rPr>
        <w:t xml:space="preserve"> High Level Forum between the Government of Ethiopia and the Development Assistance Group (DAG), the Government of Ethiopia called for a joint action to implement </w:t>
      </w:r>
      <w:r w:rsidR="00624561">
        <w:rPr>
          <w:rFonts w:ascii="Garamond" w:hAnsi="Garamond" w:cs="Tahoma"/>
          <w:sz w:val="24"/>
          <w:szCs w:val="24"/>
        </w:rPr>
        <w:t xml:space="preserve">the </w:t>
      </w:r>
      <w:r>
        <w:rPr>
          <w:rFonts w:ascii="Garamond" w:hAnsi="Garamond" w:cs="Tahoma"/>
          <w:sz w:val="24"/>
          <w:szCs w:val="24"/>
        </w:rPr>
        <w:t>A</w:t>
      </w:r>
      <w:r w:rsidR="00624561">
        <w:rPr>
          <w:rFonts w:ascii="Garamond" w:hAnsi="Garamond" w:cs="Tahoma"/>
          <w:sz w:val="24"/>
          <w:szCs w:val="24"/>
        </w:rPr>
        <w:t xml:space="preserve">ddis </w:t>
      </w:r>
      <w:r>
        <w:rPr>
          <w:rFonts w:ascii="Garamond" w:hAnsi="Garamond" w:cs="Tahoma"/>
          <w:sz w:val="24"/>
          <w:szCs w:val="24"/>
        </w:rPr>
        <w:t>A</w:t>
      </w:r>
      <w:r w:rsidR="00624561">
        <w:rPr>
          <w:rFonts w:ascii="Garamond" w:hAnsi="Garamond" w:cs="Tahoma"/>
          <w:sz w:val="24"/>
          <w:szCs w:val="24"/>
        </w:rPr>
        <w:t>genda f</w:t>
      </w:r>
      <w:r w:rsidRPr="001E1759">
        <w:rPr>
          <w:rFonts w:ascii="Garamond" w:hAnsi="Garamond" w:cs="Tahoma"/>
          <w:sz w:val="24"/>
          <w:szCs w:val="24"/>
        </w:rPr>
        <w:t>or the achievement of the SDGs through its subsequent national development plans. To this end, the Forum agreed to jointly prepare a roadmap identifying actions to be taken by the GoE and its development partners to realize the country’s national development plan through the effective implementation of the AAAA.</w:t>
      </w:r>
      <w:r w:rsidR="002756FA">
        <w:rPr>
          <w:rFonts w:ascii="Garamond" w:hAnsi="Garamond" w:cs="Tahoma"/>
          <w:sz w:val="24"/>
          <w:szCs w:val="24"/>
        </w:rPr>
        <w:t xml:space="preserve"> </w:t>
      </w:r>
      <w:r w:rsidR="002756FA" w:rsidRPr="002756FA">
        <w:rPr>
          <w:rFonts w:ascii="Garamond" w:hAnsi="Garamond" w:cs="Tahoma"/>
          <w:sz w:val="24"/>
          <w:szCs w:val="24"/>
        </w:rPr>
        <w:t xml:space="preserve">The development of an </w:t>
      </w:r>
      <w:r w:rsidR="002756FA">
        <w:rPr>
          <w:rFonts w:ascii="Garamond" w:hAnsi="Garamond" w:cs="Tahoma"/>
          <w:sz w:val="24"/>
          <w:szCs w:val="24"/>
        </w:rPr>
        <w:t>integrated national financing strategy (INFS) i</w:t>
      </w:r>
      <w:r w:rsidR="002756FA" w:rsidRPr="002756FA">
        <w:rPr>
          <w:rFonts w:ascii="Garamond" w:hAnsi="Garamond" w:cs="Tahoma"/>
          <w:sz w:val="24"/>
          <w:szCs w:val="24"/>
        </w:rPr>
        <w:t>s a key recommendation fr</w:t>
      </w:r>
      <w:r w:rsidR="002756FA">
        <w:rPr>
          <w:rFonts w:ascii="Garamond" w:hAnsi="Garamond" w:cs="Tahoma"/>
          <w:sz w:val="24"/>
          <w:szCs w:val="24"/>
        </w:rPr>
        <w:t xml:space="preserve">om the Addis Abba Action Agenda. </w:t>
      </w:r>
      <w:r w:rsidR="0051648E">
        <w:rPr>
          <w:rFonts w:ascii="Garamond" w:hAnsi="Garamond" w:cs="Tahoma"/>
          <w:sz w:val="24"/>
          <w:szCs w:val="24"/>
        </w:rPr>
        <w:t xml:space="preserve">Such strategy </w:t>
      </w:r>
      <w:r w:rsidR="0051648E" w:rsidRPr="0051648E">
        <w:rPr>
          <w:rFonts w:ascii="Garamond" w:hAnsi="Garamond" w:cs="Tahoma"/>
          <w:sz w:val="24"/>
          <w:szCs w:val="24"/>
        </w:rPr>
        <w:t>capture</w:t>
      </w:r>
      <w:r w:rsidR="00DD2BF4">
        <w:rPr>
          <w:rFonts w:ascii="Garamond" w:hAnsi="Garamond" w:cs="Tahoma"/>
          <w:sz w:val="24"/>
          <w:szCs w:val="24"/>
        </w:rPr>
        <w:t>s</w:t>
      </w:r>
      <w:r w:rsidR="0051648E" w:rsidRPr="0051648E">
        <w:rPr>
          <w:rFonts w:ascii="Garamond" w:hAnsi="Garamond" w:cs="Tahoma"/>
          <w:sz w:val="24"/>
          <w:szCs w:val="24"/>
        </w:rPr>
        <w:t xml:space="preserve"> a diversity of financial flows, </w:t>
      </w:r>
      <w:r w:rsidR="0051648E">
        <w:rPr>
          <w:rFonts w:ascii="Garamond" w:hAnsi="Garamond" w:cs="Tahoma"/>
          <w:sz w:val="24"/>
          <w:szCs w:val="24"/>
        </w:rPr>
        <w:t xml:space="preserve">including </w:t>
      </w:r>
      <w:r w:rsidR="0051648E" w:rsidRPr="0051648E">
        <w:rPr>
          <w:rFonts w:ascii="Garamond" w:hAnsi="Garamond" w:cs="Tahoma"/>
          <w:sz w:val="24"/>
          <w:szCs w:val="24"/>
        </w:rPr>
        <w:t>both domestic and foreign sources of funding.</w:t>
      </w:r>
    </w:p>
    <w:p w:rsidR="00C05692" w:rsidRDefault="00C05692" w:rsidP="0051648E">
      <w:pPr>
        <w:spacing w:after="0" w:line="240" w:lineRule="auto"/>
        <w:jc w:val="both"/>
        <w:rPr>
          <w:rFonts w:ascii="Garamond" w:hAnsi="Garamond" w:cs="Tahoma"/>
          <w:sz w:val="24"/>
          <w:szCs w:val="24"/>
        </w:rPr>
      </w:pPr>
    </w:p>
    <w:p w:rsidR="00C05692" w:rsidRDefault="00C05692" w:rsidP="0051648E">
      <w:pPr>
        <w:spacing w:after="0" w:line="240" w:lineRule="auto"/>
        <w:jc w:val="both"/>
        <w:rPr>
          <w:rFonts w:ascii="Garamond" w:hAnsi="Garamond" w:cs="Tahoma"/>
          <w:sz w:val="24"/>
          <w:szCs w:val="24"/>
        </w:rPr>
      </w:pPr>
    </w:p>
    <w:p w:rsidR="00C05692" w:rsidRDefault="00C05692" w:rsidP="0051648E">
      <w:pPr>
        <w:spacing w:after="0" w:line="240" w:lineRule="auto"/>
        <w:jc w:val="both"/>
        <w:rPr>
          <w:rFonts w:ascii="Garamond" w:hAnsi="Garamond" w:cs="Tahoma"/>
          <w:sz w:val="24"/>
          <w:szCs w:val="24"/>
        </w:rPr>
      </w:pPr>
    </w:p>
    <w:p w:rsidR="00C26A15" w:rsidRDefault="00C26A15" w:rsidP="00C26A15">
      <w:pPr>
        <w:spacing w:after="0" w:line="240" w:lineRule="auto"/>
        <w:jc w:val="both"/>
        <w:rPr>
          <w:rFonts w:ascii="Garamond" w:hAnsi="Garamond" w:cs="Tahoma"/>
          <w:sz w:val="24"/>
          <w:szCs w:val="24"/>
        </w:rPr>
      </w:pPr>
    </w:p>
    <w:p w:rsidR="009401E0" w:rsidRPr="009401E0" w:rsidRDefault="009401E0" w:rsidP="00C26A15">
      <w:pPr>
        <w:pStyle w:val="Heading2"/>
        <w:spacing w:before="0" w:line="240" w:lineRule="auto"/>
        <w:rPr>
          <w:rStyle w:val="Emphasis"/>
          <w:rFonts w:ascii="Garamond" w:hAnsi="Garamond"/>
          <w:b/>
          <w:i w:val="0"/>
          <w:iCs w:val="0"/>
          <w:sz w:val="24"/>
          <w:szCs w:val="24"/>
        </w:rPr>
      </w:pPr>
      <w:bookmarkStart w:id="10" w:name="_Toc486782248"/>
      <w:r w:rsidRPr="009401E0">
        <w:rPr>
          <w:rStyle w:val="Emphasis"/>
          <w:rFonts w:ascii="Garamond" w:hAnsi="Garamond"/>
          <w:b/>
          <w:i w:val="0"/>
          <w:sz w:val="24"/>
          <w:szCs w:val="24"/>
        </w:rPr>
        <w:t>1.2 Objectives</w:t>
      </w:r>
      <w:bookmarkEnd w:id="10"/>
      <w:r w:rsidRPr="009401E0">
        <w:rPr>
          <w:rStyle w:val="Emphasis"/>
          <w:rFonts w:ascii="Garamond" w:hAnsi="Garamond"/>
          <w:b/>
          <w:i w:val="0"/>
          <w:sz w:val="24"/>
          <w:szCs w:val="24"/>
        </w:rPr>
        <w:t xml:space="preserve"> </w:t>
      </w:r>
    </w:p>
    <w:p w:rsidR="009401E0" w:rsidRDefault="009401E0" w:rsidP="00C26A15">
      <w:pPr>
        <w:spacing w:after="0" w:line="240" w:lineRule="auto"/>
        <w:jc w:val="both"/>
        <w:rPr>
          <w:rFonts w:ascii="Garamond" w:hAnsi="Garamond" w:cs="Tahoma"/>
          <w:sz w:val="24"/>
          <w:szCs w:val="24"/>
        </w:rPr>
      </w:pPr>
    </w:p>
    <w:p w:rsidR="00256DFD" w:rsidRPr="00256DFD" w:rsidRDefault="009401E0" w:rsidP="00256DFD">
      <w:pPr>
        <w:spacing w:after="0" w:line="240" w:lineRule="auto"/>
        <w:jc w:val="both"/>
        <w:rPr>
          <w:rFonts w:ascii="Garamond" w:hAnsi="Garamond" w:cs="Tahoma"/>
          <w:bCs/>
          <w:sz w:val="24"/>
          <w:szCs w:val="24"/>
        </w:rPr>
      </w:pPr>
      <w:r w:rsidRPr="002E137D">
        <w:rPr>
          <w:rFonts w:ascii="Garamond" w:hAnsi="Garamond" w:cs="Tahoma"/>
          <w:sz w:val="24"/>
          <w:szCs w:val="24"/>
        </w:rPr>
        <w:t xml:space="preserve">The </w:t>
      </w:r>
      <w:r w:rsidRPr="00CD30EE">
        <w:rPr>
          <w:rFonts w:ascii="Garamond" w:hAnsi="Garamond" w:cs="Tahoma"/>
          <w:sz w:val="24"/>
          <w:szCs w:val="24"/>
        </w:rPr>
        <w:t xml:space="preserve">overall </w:t>
      </w:r>
      <w:r w:rsidRPr="002E137D">
        <w:rPr>
          <w:rFonts w:ascii="Garamond" w:hAnsi="Garamond" w:cs="Tahoma"/>
          <w:sz w:val="24"/>
          <w:szCs w:val="24"/>
        </w:rPr>
        <w:t xml:space="preserve">objective of the study is to develop a </w:t>
      </w:r>
      <w:r w:rsidRPr="00A730BD">
        <w:rPr>
          <w:rFonts w:ascii="Garamond" w:hAnsi="Garamond" w:cs="Tahoma"/>
          <w:sz w:val="24"/>
          <w:szCs w:val="24"/>
        </w:rPr>
        <w:t>comprehensive roadmap</w:t>
      </w:r>
      <w:r w:rsidRPr="002E137D">
        <w:rPr>
          <w:rFonts w:ascii="Garamond" w:hAnsi="Garamond" w:cs="Tahoma"/>
          <w:sz w:val="24"/>
          <w:szCs w:val="24"/>
        </w:rPr>
        <w:t xml:space="preserve"> for the implementation of the Addis Agenda </w:t>
      </w:r>
      <w:r w:rsidR="007C462E">
        <w:rPr>
          <w:rFonts w:ascii="Garamond" w:hAnsi="Garamond" w:cs="Tahoma"/>
          <w:sz w:val="24"/>
          <w:szCs w:val="24"/>
        </w:rPr>
        <w:t xml:space="preserve">to be </w:t>
      </w:r>
      <w:r w:rsidRPr="002E137D">
        <w:rPr>
          <w:rFonts w:ascii="Garamond" w:hAnsi="Garamond" w:cs="Tahoma"/>
          <w:sz w:val="24"/>
          <w:szCs w:val="24"/>
        </w:rPr>
        <w:t xml:space="preserve">implemented by the government, members of DAG and other stakeholders. </w:t>
      </w:r>
      <w:r w:rsidR="00256DFD">
        <w:rPr>
          <w:rFonts w:ascii="Garamond" w:hAnsi="Garamond" w:cs="Tahoma"/>
          <w:sz w:val="24"/>
          <w:szCs w:val="24"/>
        </w:rPr>
        <w:t>Using the Development Assessment Framework</w:t>
      </w:r>
      <w:r w:rsidR="00333EFD">
        <w:rPr>
          <w:rFonts w:ascii="Garamond" w:hAnsi="Garamond" w:cs="Tahoma"/>
          <w:sz w:val="24"/>
          <w:szCs w:val="24"/>
        </w:rPr>
        <w:t xml:space="preserve"> (DFA)</w:t>
      </w:r>
      <w:r w:rsidR="00256DFD">
        <w:rPr>
          <w:rFonts w:ascii="Garamond" w:hAnsi="Garamond" w:cs="Tahoma"/>
          <w:sz w:val="24"/>
          <w:szCs w:val="24"/>
        </w:rPr>
        <w:t xml:space="preserve"> as guide, this study intends to </w:t>
      </w:r>
      <w:r w:rsidR="00E25060">
        <w:rPr>
          <w:rFonts w:ascii="Garamond" w:hAnsi="Garamond" w:cs="Tahoma"/>
          <w:sz w:val="24"/>
          <w:szCs w:val="24"/>
        </w:rPr>
        <w:t xml:space="preserve">assess </w:t>
      </w:r>
      <w:r w:rsidR="00256DFD" w:rsidRPr="00256DFD">
        <w:rPr>
          <w:rFonts w:ascii="Garamond" w:hAnsi="Garamond" w:cs="Tahoma"/>
          <w:bCs/>
          <w:sz w:val="24"/>
          <w:szCs w:val="24"/>
        </w:rPr>
        <w:t xml:space="preserve">recent trends in development finance flows </w:t>
      </w:r>
      <w:r w:rsidR="00256DFD">
        <w:rPr>
          <w:rFonts w:ascii="Garamond" w:hAnsi="Garamond" w:cs="Tahoma"/>
          <w:bCs/>
          <w:sz w:val="24"/>
          <w:szCs w:val="24"/>
        </w:rPr>
        <w:t xml:space="preserve">including </w:t>
      </w:r>
      <w:r w:rsidR="00256DFD" w:rsidRPr="00256DFD">
        <w:rPr>
          <w:rFonts w:ascii="Garamond" w:hAnsi="Garamond" w:cs="Tahoma"/>
          <w:bCs/>
          <w:sz w:val="24"/>
          <w:szCs w:val="24"/>
        </w:rPr>
        <w:t xml:space="preserve">public and private flows, external and domestic flows and </w:t>
      </w:r>
      <w:r w:rsidR="00E25060">
        <w:rPr>
          <w:rFonts w:ascii="Garamond" w:hAnsi="Garamond" w:cs="Tahoma"/>
          <w:bCs/>
          <w:sz w:val="24"/>
          <w:szCs w:val="24"/>
        </w:rPr>
        <w:t>examine p</w:t>
      </w:r>
      <w:r w:rsidR="00256DFD" w:rsidRPr="00256DFD">
        <w:rPr>
          <w:rFonts w:ascii="Garamond" w:hAnsi="Garamond" w:cs="Tahoma"/>
          <w:bCs/>
          <w:sz w:val="24"/>
          <w:szCs w:val="24"/>
        </w:rPr>
        <w:t>olicies and institutional capacity in government to manage such flows in a more coherent, complementary, and catalytic way.</w:t>
      </w:r>
      <w:r w:rsidR="00256DFD">
        <w:rPr>
          <w:rFonts w:ascii="Garamond" w:hAnsi="Garamond" w:cs="Tahoma"/>
          <w:bCs/>
          <w:sz w:val="24"/>
          <w:szCs w:val="24"/>
        </w:rPr>
        <w:t xml:space="preserve"> By doing so, t</w:t>
      </w:r>
      <w:r w:rsidRPr="002E137D">
        <w:rPr>
          <w:rFonts w:ascii="Garamond" w:hAnsi="Garamond" w:cs="Tahoma"/>
          <w:sz w:val="24"/>
          <w:szCs w:val="24"/>
        </w:rPr>
        <w:t xml:space="preserve">he roadmap </w:t>
      </w:r>
      <w:r>
        <w:rPr>
          <w:rFonts w:ascii="Garamond" w:hAnsi="Garamond" w:cs="Tahoma"/>
          <w:sz w:val="24"/>
          <w:szCs w:val="24"/>
        </w:rPr>
        <w:t xml:space="preserve">also </w:t>
      </w:r>
      <w:r w:rsidRPr="002E137D">
        <w:rPr>
          <w:rFonts w:ascii="Garamond" w:hAnsi="Garamond" w:cs="Tahoma"/>
          <w:sz w:val="24"/>
          <w:szCs w:val="24"/>
        </w:rPr>
        <w:t xml:space="preserve">intends to </w:t>
      </w:r>
      <w:r w:rsidRPr="002E137D">
        <w:rPr>
          <w:rFonts w:ascii="Garamond" w:hAnsi="Garamond" w:cs="Tahoma"/>
          <w:bCs/>
          <w:sz w:val="24"/>
          <w:szCs w:val="24"/>
        </w:rPr>
        <w:t xml:space="preserve">provide </w:t>
      </w:r>
      <w:r w:rsidRPr="00A730BD">
        <w:rPr>
          <w:rFonts w:ascii="Garamond" w:hAnsi="Garamond" w:cs="Tahoma"/>
          <w:bCs/>
          <w:sz w:val="24"/>
          <w:szCs w:val="24"/>
        </w:rPr>
        <w:t>a framework that includes strategic partnerships</w:t>
      </w:r>
      <w:r w:rsidRPr="002E137D">
        <w:rPr>
          <w:rFonts w:ascii="Garamond" w:hAnsi="Garamond" w:cs="Tahoma"/>
          <w:bCs/>
          <w:sz w:val="24"/>
          <w:szCs w:val="24"/>
        </w:rPr>
        <w:t xml:space="preserve"> for the mobilization and employment of ‘</w:t>
      </w:r>
      <w:r w:rsidRPr="002E137D">
        <w:rPr>
          <w:rFonts w:ascii="Garamond" w:hAnsi="Garamond" w:cs="Tahoma"/>
          <w:bCs/>
          <w:i/>
          <w:sz w:val="24"/>
          <w:szCs w:val="24"/>
        </w:rPr>
        <w:t>New and Additional’</w:t>
      </w:r>
      <w:r w:rsidRPr="002E137D">
        <w:rPr>
          <w:rFonts w:ascii="Garamond" w:hAnsi="Garamond" w:cs="Tahoma"/>
          <w:bCs/>
          <w:sz w:val="24"/>
          <w:szCs w:val="24"/>
        </w:rPr>
        <w:t xml:space="preserve"> resources for the achievement of the Sustainable Development Goals (SDGs) through Ethiopia’s </w:t>
      </w:r>
      <w:r>
        <w:rPr>
          <w:rFonts w:ascii="Garamond" w:hAnsi="Garamond" w:cs="Tahoma"/>
          <w:bCs/>
          <w:sz w:val="24"/>
          <w:szCs w:val="24"/>
        </w:rPr>
        <w:t xml:space="preserve">second </w:t>
      </w:r>
      <w:r w:rsidRPr="002E137D">
        <w:rPr>
          <w:rFonts w:ascii="Garamond" w:hAnsi="Garamond" w:cs="Tahoma"/>
          <w:bCs/>
          <w:sz w:val="24"/>
          <w:szCs w:val="24"/>
        </w:rPr>
        <w:t>Growth and Transformation Plan</w:t>
      </w:r>
      <w:r>
        <w:rPr>
          <w:rFonts w:ascii="Garamond" w:hAnsi="Garamond" w:cs="Tahoma"/>
          <w:bCs/>
          <w:sz w:val="24"/>
          <w:szCs w:val="24"/>
        </w:rPr>
        <w:t xml:space="preserve"> (GTP-II)</w:t>
      </w:r>
      <w:r w:rsidRPr="002E137D">
        <w:rPr>
          <w:rFonts w:ascii="Garamond" w:hAnsi="Garamond" w:cs="Tahoma"/>
          <w:bCs/>
          <w:sz w:val="24"/>
          <w:szCs w:val="24"/>
        </w:rPr>
        <w:t>.</w:t>
      </w:r>
      <w:r w:rsidR="00256DFD">
        <w:rPr>
          <w:rFonts w:ascii="Garamond" w:hAnsi="Garamond" w:cs="Tahoma"/>
          <w:bCs/>
          <w:sz w:val="24"/>
          <w:szCs w:val="24"/>
        </w:rPr>
        <w:t xml:space="preserve"> </w:t>
      </w:r>
    </w:p>
    <w:p w:rsidR="009401E0" w:rsidRPr="00AB1A44" w:rsidRDefault="009401E0" w:rsidP="00C26A15">
      <w:pPr>
        <w:spacing w:after="0" w:line="240" w:lineRule="auto"/>
        <w:jc w:val="both"/>
        <w:rPr>
          <w:rFonts w:ascii="Garamond" w:hAnsi="Garamond" w:cs="Tahoma"/>
          <w:bCs/>
          <w:sz w:val="24"/>
          <w:szCs w:val="24"/>
        </w:rPr>
      </w:pPr>
      <w:r>
        <w:rPr>
          <w:rFonts w:ascii="Garamond" w:hAnsi="Garamond" w:cs="Tahoma"/>
          <w:bCs/>
          <w:sz w:val="24"/>
          <w:szCs w:val="24"/>
        </w:rPr>
        <w:t>The s</w:t>
      </w:r>
      <w:r w:rsidRPr="00AB1A44">
        <w:rPr>
          <w:rFonts w:ascii="Garamond" w:hAnsi="Garamond" w:cs="Tahoma"/>
          <w:bCs/>
          <w:sz w:val="24"/>
          <w:szCs w:val="24"/>
        </w:rPr>
        <w:t>pecific objectives</w:t>
      </w:r>
      <w:r>
        <w:rPr>
          <w:rFonts w:ascii="Garamond" w:hAnsi="Garamond" w:cs="Tahoma"/>
          <w:bCs/>
          <w:sz w:val="24"/>
          <w:szCs w:val="24"/>
        </w:rPr>
        <w:t xml:space="preserve"> include</w:t>
      </w:r>
      <w:r w:rsidRPr="00AB1A44">
        <w:rPr>
          <w:rFonts w:ascii="Garamond" w:hAnsi="Garamond" w:cs="Tahoma"/>
          <w:bCs/>
          <w:sz w:val="24"/>
          <w:szCs w:val="24"/>
        </w:rPr>
        <w:t>:</w:t>
      </w:r>
    </w:p>
    <w:p w:rsidR="009401E0" w:rsidRPr="00AB1A44" w:rsidRDefault="009401E0" w:rsidP="00F82810">
      <w:pPr>
        <w:pStyle w:val="ListParagraph"/>
        <w:numPr>
          <w:ilvl w:val="0"/>
          <w:numId w:val="20"/>
        </w:numPr>
        <w:spacing w:after="0" w:line="240" w:lineRule="auto"/>
        <w:jc w:val="both"/>
        <w:rPr>
          <w:rFonts w:ascii="Garamond" w:hAnsi="Garamond" w:cs="Tahoma"/>
          <w:bCs/>
          <w:sz w:val="24"/>
          <w:szCs w:val="24"/>
        </w:rPr>
      </w:pPr>
      <w:r w:rsidRPr="00AB1A44">
        <w:rPr>
          <w:rFonts w:ascii="Garamond" w:hAnsi="Garamond" w:cs="Tahoma"/>
          <w:bCs/>
          <w:sz w:val="24"/>
          <w:szCs w:val="24"/>
        </w:rPr>
        <w:t xml:space="preserve">Identify critical and immediate action to be taken by GoE and its development partners to implement AAAA ensuring </w:t>
      </w:r>
      <w:r w:rsidRPr="00AB1A44">
        <w:rPr>
          <w:rFonts w:ascii="Garamond" w:hAnsi="Garamond" w:cs="Tahoma"/>
          <w:sz w:val="24"/>
          <w:szCs w:val="24"/>
        </w:rPr>
        <w:t>‘</w:t>
      </w:r>
      <w:r w:rsidRPr="00AB1A44">
        <w:rPr>
          <w:rFonts w:ascii="Garamond" w:hAnsi="Garamond" w:cs="Tahoma"/>
          <w:i/>
          <w:sz w:val="24"/>
          <w:szCs w:val="24"/>
        </w:rPr>
        <w:t>new and additional’</w:t>
      </w:r>
      <w:r w:rsidRPr="00AB1A44">
        <w:rPr>
          <w:rFonts w:ascii="Garamond" w:hAnsi="Garamond" w:cs="Tahoma"/>
          <w:sz w:val="24"/>
          <w:szCs w:val="24"/>
        </w:rPr>
        <w:t xml:space="preserve"> means of implementation for</w:t>
      </w:r>
      <w:r w:rsidRPr="00AB1A44">
        <w:rPr>
          <w:rFonts w:ascii="Garamond" w:hAnsi="Garamond" w:cs="Tahoma"/>
          <w:bCs/>
          <w:sz w:val="24"/>
          <w:szCs w:val="24"/>
        </w:rPr>
        <w:t xml:space="preserve"> th</w:t>
      </w:r>
      <w:r>
        <w:rPr>
          <w:rFonts w:ascii="Garamond" w:hAnsi="Garamond" w:cs="Tahoma"/>
          <w:bCs/>
          <w:sz w:val="24"/>
          <w:szCs w:val="24"/>
        </w:rPr>
        <w:t>e SDGs during the GTP-II period,</w:t>
      </w:r>
    </w:p>
    <w:p w:rsidR="009401E0" w:rsidRPr="00AB1A44" w:rsidRDefault="009401E0" w:rsidP="00F82810">
      <w:pPr>
        <w:pStyle w:val="ListParagraph"/>
        <w:numPr>
          <w:ilvl w:val="0"/>
          <w:numId w:val="20"/>
        </w:numPr>
        <w:spacing w:after="0" w:line="240" w:lineRule="auto"/>
        <w:jc w:val="both"/>
        <w:rPr>
          <w:rFonts w:ascii="Garamond" w:hAnsi="Garamond" w:cs="Tahoma"/>
          <w:bCs/>
          <w:sz w:val="24"/>
          <w:szCs w:val="24"/>
        </w:rPr>
      </w:pPr>
      <w:r>
        <w:rPr>
          <w:rFonts w:ascii="Garamond" w:hAnsi="Garamond" w:cs="Tahoma"/>
          <w:sz w:val="24"/>
          <w:szCs w:val="24"/>
        </w:rPr>
        <w:t xml:space="preserve">Assess </w:t>
      </w:r>
      <w:r w:rsidRPr="00AB1A44">
        <w:rPr>
          <w:rFonts w:ascii="Garamond" w:hAnsi="Garamond" w:cs="Tahoma"/>
          <w:sz w:val="24"/>
          <w:szCs w:val="24"/>
        </w:rPr>
        <w:t>opportunities and challenges for Ethiopia and its partners in the mobilization of ‘</w:t>
      </w:r>
      <w:r w:rsidRPr="00AB1A44">
        <w:rPr>
          <w:rFonts w:ascii="Garamond" w:hAnsi="Garamond" w:cs="Tahoma"/>
          <w:i/>
          <w:sz w:val="24"/>
          <w:szCs w:val="24"/>
        </w:rPr>
        <w:t>new and additional’</w:t>
      </w:r>
      <w:r w:rsidRPr="00AB1A44">
        <w:rPr>
          <w:rFonts w:ascii="Garamond" w:hAnsi="Garamond" w:cs="Tahoma"/>
          <w:sz w:val="24"/>
          <w:szCs w:val="24"/>
        </w:rPr>
        <w:t xml:space="preserve"> means of implementation for the</w:t>
      </w:r>
      <w:r>
        <w:rPr>
          <w:rFonts w:ascii="Garamond" w:hAnsi="Garamond" w:cs="Tahoma"/>
          <w:sz w:val="24"/>
          <w:szCs w:val="24"/>
        </w:rPr>
        <w:t xml:space="preserve"> SDGs as called for in the AAAA, and </w:t>
      </w:r>
      <w:r w:rsidRPr="00AB1A44">
        <w:rPr>
          <w:rFonts w:ascii="Garamond" w:hAnsi="Garamond" w:cs="Tahoma"/>
          <w:sz w:val="24"/>
          <w:szCs w:val="24"/>
        </w:rPr>
        <w:t xml:space="preserve"> </w:t>
      </w:r>
    </w:p>
    <w:p w:rsidR="00D61F82" w:rsidRPr="00256DFD" w:rsidRDefault="009401E0" w:rsidP="00F82810">
      <w:pPr>
        <w:pStyle w:val="ListParagraph"/>
        <w:numPr>
          <w:ilvl w:val="0"/>
          <w:numId w:val="20"/>
        </w:numPr>
        <w:spacing w:after="0" w:line="240" w:lineRule="auto"/>
        <w:jc w:val="both"/>
        <w:rPr>
          <w:rFonts w:ascii="Garamond" w:hAnsi="Garamond"/>
          <w:b/>
          <w:sz w:val="24"/>
          <w:szCs w:val="24"/>
        </w:rPr>
      </w:pPr>
      <w:r w:rsidRPr="00D61F82">
        <w:rPr>
          <w:rFonts w:ascii="Garamond" w:hAnsi="Garamond" w:cs="Tahoma"/>
          <w:bCs/>
          <w:sz w:val="24"/>
          <w:szCs w:val="24"/>
        </w:rPr>
        <w:t>Define a coherent mechanism for the monitoring and reporting of the AAAA that could feed into the annual report of the global inter-agency workforce on the implementation of AAAA.</w:t>
      </w:r>
    </w:p>
    <w:p w:rsidR="00333EFD" w:rsidRDefault="00333EFD" w:rsidP="00C26A15">
      <w:pPr>
        <w:pStyle w:val="Heading2"/>
        <w:spacing w:before="0" w:line="240" w:lineRule="auto"/>
        <w:rPr>
          <w:rFonts w:ascii="Garamond" w:hAnsi="Garamond"/>
          <w:b/>
          <w:sz w:val="24"/>
          <w:szCs w:val="24"/>
        </w:rPr>
      </w:pPr>
    </w:p>
    <w:p w:rsidR="009401E0" w:rsidRPr="00D61F82" w:rsidRDefault="009401E0" w:rsidP="00C26A15">
      <w:pPr>
        <w:pStyle w:val="Heading2"/>
        <w:spacing w:before="0" w:line="240" w:lineRule="auto"/>
        <w:rPr>
          <w:rFonts w:ascii="Garamond" w:hAnsi="Garamond"/>
          <w:b/>
          <w:sz w:val="24"/>
          <w:szCs w:val="24"/>
        </w:rPr>
      </w:pPr>
      <w:bookmarkStart w:id="11" w:name="_Toc486782249"/>
      <w:r w:rsidRPr="00D61F82">
        <w:rPr>
          <w:rFonts w:ascii="Garamond" w:hAnsi="Garamond"/>
          <w:b/>
          <w:sz w:val="24"/>
          <w:szCs w:val="24"/>
        </w:rPr>
        <w:t>1.3 Methodology and Approach</w:t>
      </w:r>
      <w:bookmarkEnd w:id="11"/>
    </w:p>
    <w:p w:rsidR="009401E0" w:rsidRDefault="009401E0" w:rsidP="00C26A15">
      <w:pPr>
        <w:pStyle w:val="Heading2"/>
        <w:spacing w:before="0" w:line="240" w:lineRule="auto"/>
        <w:rPr>
          <w:rFonts w:ascii="Garamond" w:hAnsi="Garamond"/>
          <w:b/>
          <w:sz w:val="24"/>
          <w:szCs w:val="24"/>
        </w:rPr>
      </w:pPr>
      <w:bookmarkStart w:id="12" w:name="_Toc460782766"/>
    </w:p>
    <w:p w:rsidR="009401E0" w:rsidRPr="009401E0" w:rsidRDefault="009401E0" w:rsidP="00C26A15">
      <w:pPr>
        <w:pStyle w:val="Heading3"/>
        <w:spacing w:before="0" w:line="240" w:lineRule="auto"/>
        <w:rPr>
          <w:rFonts w:ascii="Garamond" w:hAnsi="Garamond"/>
          <w:b/>
        </w:rPr>
      </w:pPr>
      <w:bookmarkStart w:id="13" w:name="_Toc449761766"/>
      <w:bookmarkStart w:id="14" w:name="_Toc451528033"/>
      <w:bookmarkStart w:id="15" w:name="_Toc460782767"/>
      <w:bookmarkStart w:id="16" w:name="_Toc486782250"/>
      <w:bookmarkEnd w:id="12"/>
      <w:r w:rsidRPr="009401E0">
        <w:rPr>
          <w:rFonts w:ascii="Garamond" w:hAnsi="Garamond"/>
          <w:b/>
        </w:rPr>
        <w:t>1.3.1 Overall analytical approach</w:t>
      </w:r>
      <w:bookmarkEnd w:id="13"/>
      <w:bookmarkEnd w:id="14"/>
      <w:bookmarkEnd w:id="15"/>
      <w:bookmarkEnd w:id="16"/>
    </w:p>
    <w:p w:rsidR="009401E0" w:rsidRDefault="009401E0" w:rsidP="00C26A15">
      <w:pPr>
        <w:autoSpaceDE w:val="0"/>
        <w:autoSpaceDN w:val="0"/>
        <w:adjustRightInd w:val="0"/>
        <w:spacing w:after="0" w:line="240" w:lineRule="auto"/>
        <w:jc w:val="both"/>
        <w:rPr>
          <w:rFonts w:ascii="Garamond" w:hAnsi="Garamond"/>
          <w:sz w:val="24"/>
          <w:szCs w:val="24"/>
        </w:rPr>
      </w:pPr>
    </w:p>
    <w:p w:rsidR="002E7A64" w:rsidRPr="002E7A64" w:rsidRDefault="009401E0" w:rsidP="002E7A64">
      <w:pPr>
        <w:autoSpaceDE w:val="0"/>
        <w:autoSpaceDN w:val="0"/>
        <w:adjustRightInd w:val="0"/>
        <w:spacing w:after="0" w:line="240" w:lineRule="auto"/>
        <w:jc w:val="both"/>
        <w:rPr>
          <w:rFonts w:ascii="Garamond" w:eastAsiaTheme="minorHAnsi" w:hAnsi="Garamond"/>
          <w:sz w:val="24"/>
          <w:szCs w:val="24"/>
          <w:lang w:val="en-GB"/>
        </w:rPr>
      </w:pPr>
      <w:r w:rsidRPr="002E7A64">
        <w:rPr>
          <w:rFonts w:ascii="Garamond" w:hAnsi="Garamond"/>
          <w:sz w:val="24"/>
          <w:szCs w:val="24"/>
        </w:rPr>
        <w:t xml:space="preserve">The overall methodological approach is based on the </w:t>
      </w:r>
      <w:r w:rsidR="003C685F" w:rsidRPr="002E7A64">
        <w:rPr>
          <w:rFonts w:ascii="Garamond" w:hAnsi="Garamond"/>
          <w:sz w:val="24"/>
          <w:szCs w:val="24"/>
        </w:rPr>
        <w:t xml:space="preserve">Development Finance </w:t>
      </w:r>
      <w:r w:rsidR="00333EFD" w:rsidRPr="002E7A64">
        <w:rPr>
          <w:rFonts w:ascii="Garamond" w:hAnsi="Garamond"/>
          <w:sz w:val="24"/>
          <w:szCs w:val="24"/>
        </w:rPr>
        <w:t xml:space="preserve">Assessment </w:t>
      </w:r>
      <w:r w:rsidR="003C685F" w:rsidRPr="002E7A64">
        <w:rPr>
          <w:rFonts w:ascii="Garamond" w:hAnsi="Garamond"/>
          <w:sz w:val="24"/>
          <w:szCs w:val="24"/>
        </w:rPr>
        <w:t>(DFA) f</w:t>
      </w:r>
      <w:r w:rsidR="00E25060">
        <w:rPr>
          <w:rFonts w:ascii="Garamond" w:hAnsi="Garamond"/>
          <w:sz w:val="24"/>
          <w:szCs w:val="24"/>
        </w:rPr>
        <w:t xml:space="preserve">ramework which requires </w:t>
      </w:r>
      <w:r w:rsidR="002E7A64" w:rsidRPr="002E7A64">
        <w:rPr>
          <w:rFonts w:ascii="Garamond" w:eastAsiaTheme="minorHAnsi" w:hAnsi="Garamond"/>
          <w:sz w:val="24"/>
          <w:szCs w:val="24"/>
          <w:lang w:val="en-GB"/>
        </w:rPr>
        <w:t xml:space="preserve">a comprehensive mapping of past and current sources of development finance. </w:t>
      </w:r>
      <w:r w:rsidR="00050F76" w:rsidRPr="002E7A64">
        <w:rPr>
          <w:rFonts w:ascii="Garamond" w:hAnsi="Garamond"/>
          <w:sz w:val="24"/>
          <w:szCs w:val="24"/>
        </w:rPr>
        <w:t xml:space="preserve">The </w:t>
      </w:r>
      <w:r w:rsidR="00E25060">
        <w:rPr>
          <w:rFonts w:ascii="Garamond" w:eastAsiaTheme="minorHAnsi" w:hAnsi="Garamond"/>
          <w:sz w:val="24"/>
          <w:szCs w:val="24"/>
          <w:lang w:val="en-GB"/>
        </w:rPr>
        <w:t>DFA</w:t>
      </w:r>
      <w:r w:rsidR="00E25060" w:rsidRPr="002E7A64">
        <w:rPr>
          <w:rFonts w:ascii="Garamond" w:hAnsi="Garamond"/>
          <w:sz w:val="24"/>
          <w:szCs w:val="24"/>
        </w:rPr>
        <w:t xml:space="preserve"> </w:t>
      </w:r>
      <w:r w:rsidR="00050F76" w:rsidRPr="002E7A64">
        <w:rPr>
          <w:rFonts w:ascii="Garamond" w:hAnsi="Garamond"/>
          <w:sz w:val="24"/>
          <w:szCs w:val="24"/>
        </w:rPr>
        <w:t xml:space="preserve">framework </w:t>
      </w:r>
      <w:r w:rsidR="00050F76" w:rsidRPr="002E7A64">
        <w:rPr>
          <w:rFonts w:ascii="Garamond" w:eastAsiaTheme="minorHAnsi" w:hAnsi="Garamond"/>
          <w:sz w:val="24"/>
          <w:szCs w:val="24"/>
          <w:lang w:val="en-GB"/>
        </w:rPr>
        <w:t>provide an understanding of the potential sources of resources including domestic and external resources needed for implementing development initiatives</w:t>
      </w:r>
      <w:r w:rsidR="001B6035">
        <w:rPr>
          <w:rFonts w:ascii="Garamond" w:eastAsiaTheme="minorHAnsi" w:hAnsi="Garamond"/>
          <w:sz w:val="24"/>
          <w:szCs w:val="24"/>
          <w:lang w:val="en-GB"/>
        </w:rPr>
        <w:t xml:space="preserve"> (Figure 1)</w:t>
      </w:r>
      <w:r w:rsidR="00050F76" w:rsidRPr="002E7A64">
        <w:rPr>
          <w:rFonts w:ascii="Garamond" w:eastAsiaTheme="minorHAnsi" w:hAnsi="Garamond"/>
          <w:sz w:val="24"/>
          <w:szCs w:val="24"/>
          <w:lang w:val="en-GB"/>
        </w:rPr>
        <w:t>.</w:t>
      </w:r>
      <w:r w:rsidR="00050F76">
        <w:rPr>
          <w:rFonts w:ascii="Garamond" w:eastAsiaTheme="minorHAnsi" w:hAnsi="Garamond"/>
          <w:sz w:val="24"/>
          <w:szCs w:val="24"/>
          <w:lang w:val="en-GB"/>
        </w:rPr>
        <w:t xml:space="preserve"> Domestic resources include </w:t>
      </w:r>
      <w:r w:rsidR="002E7A64" w:rsidRPr="002E7A64">
        <w:rPr>
          <w:rFonts w:ascii="Garamond" w:eastAsiaTheme="minorHAnsi" w:hAnsi="Garamond"/>
          <w:sz w:val="24"/>
          <w:szCs w:val="24"/>
          <w:lang w:val="en-GB"/>
        </w:rPr>
        <w:t xml:space="preserve">public sources </w:t>
      </w:r>
      <w:r w:rsidR="00050F76">
        <w:rPr>
          <w:rFonts w:ascii="Garamond" w:eastAsiaTheme="minorHAnsi" w:hAnsi="Garamond"/>
          <w:sz w:val="24"/>
          <w:szCs w:val="24"/>
          <w:lang w:val="en-GB"/>
        </w:rPr>
        <w:t xml:space="preserve">such as </w:t>
      </w:r>
      <w:r w:rsidR="002E7A64" w:rsidRPr="002E7A64">
        <w:rPr>
          <w:rFonts w:ascii="Garamond" w:eastAsiaTheme="minorHAnsi" w:hAnsi="Garamond"/>
          <w:sz w:val="24"/>
          <w:szCs w:val="24"/>
          <w:lang w:val="en-GB"/>
        </w:rPr>
        <w:t xml:space="preserve">tax and non-tax revenue, and </w:t>
      </w:r>
      <w:r w:rsidR="004A4728">
        <w:rPr>
          <w:rFonts w:ascii="Garamond" w:eastAsiaTheme="minorHAnsi" w:hAnsi="Garamond"/>
          <w:sz w:val="24"/>
          <w:szCs w:val="24"/>
          <w:lang w:val="en-GB"/>
        </w:rPr>
        <w:t xml:space="preserve">domestic </w:t>
      </w:r>
      <w:r w:rsidR="002E7A64" w:rsidRPr="002E7A64">
        <w:rPr>
          <w:rFonts w:ascii="Garamond" w:eastAsiaTheme="minorHAnsi" w:hAnsi="Garamond"/>
          <w:sz w:val="24"/>
          <w:szCs w:val="24"/>
          <w:lang w:val="en-GB"/>
        </w:rPr>
        <w:t xml:space="preserve">private sources </w:t>
      </w:r>
      <w:r w:rsidR="00050F76">
        <w:rPr>
          <w:rFonts w:ascii="Garamond" w:eastAsiaTheme="minorHAnsi" w:hAnsi="Garamond"/>
          <w:sz w:val="24"/>
          <w:szCs w:val="24"/>
          <w:lang w:val="en-GB"/>
        </w:rPr>
        <w:t xml:space="preserve">such as </w:t>
      </w:r>
      <w:r w:rsidR="004A4728">
        <w:rPr>
          <w:rFonts w:ascii="Garamond" w:eastAsiaTheme="minorHAnsi" w:hAnsi="Garamond"/>
          <w:sz w:val="24"/>
          <w:szCs w:val="24"/>
          <w:lang w:val="en-GB"/>
        </w:rPr>
        <w:t xml:space="preserve">domestic </w:t>
      </w:r>
      <w:r w:rsidR="002E7A64" w:rsidRPr="002E7A64">
        <w:rPr>
          <w:rFonts w:ascii="Garamond" w:eastAsiaTheme="minorHAnsi" w:hAnsi="Garamond"/>
          <w:sz w:val="24"/>
          <w:szCs w:val="24"/>
          <w:lang w:val="en-GB"/>
        </w:rPr>
        <w:t xml:space="preserve">private investment and </w:t>
      </w:r>
      <w:r w:rsidR="00050F76">
        <w:rPr>
          <w:rFonts w:ascii="Garamond" w:eastAsiaTheme="minorHAnsi" w:hAnsi="Garamond"/>
          <w:sz w:val="24"/>
          <w:szCs w:val="24"/>
          <w:lang w:val="en-GB"/>
        </w:rPr>
        <w:t xml:space="preserve">domestic </w:t>
      </w:r>
      <w:r w:rsidR="002E7A64" w:rsidRPr="002E7A64">
        <w:rPr>
          <w:rFonts w:ascii="Garamond" w:eastAsiaTheme="minorHAnsi" w:hAnsi="Garamond"/>
          <w:sz w:val="24"/>
          <w:szCs w:val="24"/>
          <w:lang w:val="en-GB"/>
        </w:rPr>
        <w:t>philanthropic organizations</w:t>
      </w:r>
      <w:r w:rsidR="00050F76">
        <w:rPr>
          <w:rFonts w:ascii="Garamond" w:eastAsiaTheme="minorHAnsi" w:hAnsi="Garamond"/>
          <w:sz w:val="24"/>
          <w:szCs w:val="24"/>
          <w:lang w:val="en-GB"/>
        </w:rPr>
        <w:t>, while t</w:t>
      </w:r>
      <w:r w:rsidR="002E7A64" w:rsidRPr="002E7A64">
        <w:rPr>
          <w:rFonts w:ascii="Garamond" w:eastAsiaTheme="minorHAnsi" w:hAnsi="Garamond"/>
          <w:sz w:val="24"/>
          <w:szCs w:val="24"/>
          <w:lang w:val="en-GB"/>
        </w:rPr>
        <w:t xml:space="preserve">he external </w:t>
      </w:r>
      <w:r w:rsidR="00050F76">
        <w:rPr>
          <w:rFonts w:ascii="Garamond" w:eastAsiaTheme="minorHAnsi" w:hAnsi="Garamond"/>
          <w:sz w:val="24"/>
          <w:szCs w:val="24"/>
          <w:lang w:val="en-GB"/>
        </w:rPr>
        <w:t>resources include official development assistance (</w:t>
      </w:r>
      <w:r w:rsidR="002E7A64" w:rsidRPr="002E7A64">
        <w:rPr>
          <w:rFonts w:ascii="Garamond" w:eastAsiaTheme="minorHAnsi" w:hAnsi="Garamond"/>
          <w:sz w:val="24"/>
          <w:szCs w:val="24"/>
          <w:lang w:val="en-GB"/>
        </w:rPr>
        <w:t>ODA</w:t>
      </w:r>
      <w:r w:rsidR="00050F76">
        <w:rPr>
          <w:rFonts w:ascii="Garamond" w:eastAsiaTheme="minorHAnsi" w:hAnsi="Garamond"/>
          <w:sz w:val="24"/>
          <w:szCs w:val="24"/>
          <w:lang w:val="en-GB"/>
        </w:rPr>
        <w:t>)</w:t>
      </w:r>
      <w:r w:rsidR="002E7A64" w:rsidRPr="002E7A64">
        <w:rPr>
          <w:rFonts w:ascii="Garamond" w:eastAsiaTheme="minorHAnsi" w:hAnsi="Garamond"/>
          <w:sz w:val="24"/>
          <w:szCs w:val="24"/>
          <w:lang w:val="en-GB"/>
        </w:rPr>
        <w:t xml:space="preserve">, climate finance and South-South cooperation (SSC) and </w:t>
      </w:r>
      <w:r w:rsidR="004A4728">
        <w:rPr>
          <w:rFonts w:ascii="Garamond" w:eastAsiaTheme="minorHAnsi" w:hAnsi="Garamond"/>
          <w:sz w:val="24"/>
          <w:szCs w:val="24"/>
          <w:lang w:val="en-GB"/>
        </w:rPr>
        <w:t xml:space="preserve">external </w:t>
      </w:r>
      <w:r w:rsidR="002E7A64" w:rsidRPr="002E7A64">
        <w:rPr>
          <w:rFonts w:ascii="Garamond" w:eastAsiaTheme="minorHAnsi" w:hAnsi="Garamond"/>
          <w:sz w:val="24"/>
          <w:szCs w:val="24"/>
          <w:lang w:val="en-GB"/>
        </w:rPr>
        <w:t xml:space="preserve">private sources </w:t>
      </w:r>
      <w:r w:rsidR="00050F76">
        <w:rPr>
          <w:rFonts w:ascii="Garamond" w:eastAsiaTheme="minorHAnsi" w:hAnsi="Garamond"/>
          <w:sz w:val="24"/>
          <w:szCs w:val="24"/>
          <w:lang w:val="en-GB"/>
        </w:rPr>
        <w:t xml:space="preserve">(e.g. </w:t>
      </w:r>
      <w:r w:rsidR="002E7A64" w:rsidRPr="002E7A64">
        <w:rPr>
          <w:rFonts w:ascii="Garamond" w:eastAsiaTheme="minorHAnsi" w:hAnsi="Garamond"/>
          <w:sz w:val="24"/>
          <w:szCs w:val="24"/>
          <w:lang w:val="en-GB"/>
        </w:rPr>
        <w:t>FDI</w:t>
      </w:r>
      <w:r w:rsidR="00050F76">
        <w:rPr>
          <w:rFonts w:ascii="Garamond" w:eastAsiaTheme="minorHAnsi" w:hAnsi="Garamond"/>
          <w:sz w:val="24"/>
          <w:szCs w:val="24"/>
          <w:lang w:val="en-GB"/>
        </w:rPr>
        <w:t xml:space="preserve"> and </w:t>
      </w:r>
      <w:r w:rsidR="002E7A64" w:rsidRPr="002E7A64">
        <w:rPr>
          <w:rFonts w:ascii="Garamond" w:eastAsiaTheme="minorHAnsi" w:hAnsi="Garamond"/>
          <w:sz w:val="24"/>
          <w:szCs w:val="24"/>
          <w:lang w:val="en-GB"/>
        </w:rPr>
        <w:t>remittances</w:t>
      </w:r>
      <w:r w:rsidR="00050F76">
        <w:rPr>
          <w:rFonts w:ascii="Garamond" w:eastAsiaTheme="minorHAnsi" w:hAnsi="Garamond"/>
          <w:sz w:val="24"/>
          <w:szCs w:val="24"/>
          <w:lang w:val="en-GB"/>
        </w:rPr>
        <w:t>)</w:t>
      </w:r>
      <w:r w:rsidR="002E7A64" w:rsidRPr="002E7A64">
        <w:rPr>
          <w:rFonts w:ascii="Garamond" w:eastAsiaTheme="minorHAnsi" w:hAnsi="Garamond"/>
          <w:sz w:val="24"/>
          <w:szCs w:val="24"/>
          <w:lang w:val="en-GB"/>
        </w:rPr>
        <w:t>.</w:t>
      </w:r>
    </w:p>
    <w:p w:rsidR="009E206F" w:rsidRDefault="009E206F" w:rsidP="002E7A64">
      <w:pPr>
        <w:autoSpaceDE w:val="0"/>
        <w:autoSpaceDN w:val="0"/>
        <w:adjustRightInd w:val="0"/>
        <w:spacing w:after="0" w:line="240" w:lineRule="auto"/>
        <w:jc w:val="both"/>
        <w:rPr>
          <w:rFonts w:ascii="Garamond" w:eastAsiaTheme="minorHAnsi" w:hAnsi="Garamond"/>
          <w:sz w:val="24"/>
          <w:szCs w:val="24"/>
          <w:lang w:val="en-GB"/>
        </w:rPr>
      </w:pPr>
    </w:p>
    <w:p w:rsidR="002E7A64" w:rsidRDefault="0037634A" w:rsidP="002E7A64">
      <w:pPr>
        <w:autoSpaceDE w:val="0"/>
        <w:autoSpaceDN w:val="0"/>
        <w:adjustRightInd w:val="0"/>
        <w:spacing w:after="0" w:line="240" w:lineRule="auto"/>
        <w:jc w:val="both"/>
        <w:rPr>
          <w:rFonts w:ascii="MyriadPro-Regular" w:eastAsiaTheme="minorHAnsi" w:hAnsi="MyriadPro-Regular" w:cs="MyriadPro-Regular"/>
          <w:sz w:val="20"/>
          <w:szCs w:val="20"/>
          <w:lang w:val="en-GB"/>
        </w:rPr>
      </w:pPr>
      <w:r w:rsidRPr="0037634A">
        <w:rPr>
          <w:rFonts w:ascii="Garamond" w:eastAsiaTheme="minorHAnsi" w:hAnsi="Garamond"/>
          <w:sz w:val="24"/>
          <w:szCs w:val="24"/>
          <w:lang w:val="en-GB"/>
        </w:rPr>
        <w:t>In addition, the DFA framework includes an assessment of relevant policies, institutional arrangements,</w:t>
      </w:r>
      <w:r>
        <w:rPr>
          <w:rFonts w:ascii="Garamond" w:eastAsiaTheme="minorHAnsi" w:hAnsi="Garamond"/>
          <w:sz w:val="24"/>
          <w:szCs w:val="24"/>
          <w:lang w:val="en-GB"/>
        </w:rPr>
        <w:t xml:space="preserve"> </w:t>
      </w:r>
      <w:r w:rsidRPr="0037634A">
        <w:rPr>
          <w:rFonts w:ascii="Garamond" w:eastAsiaTheme="minorHAnsi" w:hAnsi="Garamond"/>
          <w:sz w:val="24"/>
          <w:szCs w:val="24"/>
          <w:lang w:val="en-GB"/>
        </w:rPr>
        <w:t>technical systems and tools and human resource capacity to mobilize, manage, deliver, monitor and</w:t>
      </w:r>
      <w:r>
        <w:rPr>
          <w:rFonts w:ascii="Garamond" w:eastAsiaTheme="minorHAnsi" w:hAnsi="Garamond"/>
          <w:sz w:val="24"/>
          <w:szCs w:val="24"/>
          <w:lang w:val="en-GB"/>
        </w:rPr>
        <w:t xml:space="preserve"> </w:t>
      </w:r>
      <w:r w:rsidRPr="0037634A">
        <w:rPr>
          <w:rFonts w:ascii="Garamond" w:eastAsiaTheme="minorHAnsi" w:hAnsi="Garamond"/>
          <w:sz w:val="24"/>
          <w:szCs w:val="24"/>
          <w:lang w:val="en-GB"/>
        </w:rPr>
        <w:t>report on existing and future flows, together with recommendations on the way forward.</w:t>
      </w:r>
      <w:r>
        <w:rPr>
          <w:rFonts w:ascii="Garamond" w:eastAsiaTheme="minorHAnsi" w:hAnsi="Garamond"/>
          <w:sz w:val="24"/>
          <w:szCs w:val="24"/>
          <w:lang w:val="en-GB"/>
        </w:rPr>
        <w:t xml:space="preserve"> </w:t>
      </w:r>
    </w:p>
    <w:p w:rsidR="0039194E" w:rsidRPr="0039194E" w:rsidRDefault="009401E0" w:rsidP="002567F5">
      <w:pPr>
        <w:autoSpaceDE w:val="0"/>
        <w:autoSpaceDN w:val="0"/>
        <w:adjustRightInd w:val="0"/>
        <w:spacing w:after="0" w:line="240" w:lineRule="auto"/>
        <w:jc w:val="both"/>
        <w:rPr>
          <w:rFonts w:ascii="Garamond" w:eastAsiaTheme="minorHAnsi" w:hAnsi="Garamond" w:cs="Tahoma"/>
          <w:sz w:val="24"/>
          <w:szCs w:val="24"/>
        </w:rPr>
      </w:pPr>
      <w:r w:rsidRPr="006B69AC">
        <w:rPr>
          <w:rFonts w:ascii="Garamond" w:hAnsi="Garamond"/>
          <w:sz w:val="24"/>
          <w:szCs w:val="24"/>
        </w:rPr>
        <w:t xml:space="preserve">A successful implementation of the Addis Agenda </w:t>
      </w:r>
      <w:r>
        <w:rPr>
          <w:rFonts w:ascii="Garamond" w:hAnsi="Garamond"/>
          <w:sz w:val="24"/>
          <w:szCs w:val="24"/>
        </w:rPr>
        <w:t xml:space="preserve">also </w:t>
      </w:r>
      <w:r w:rsidRPr="006B69AC">
        <w:rPr>
          <w:rFonts w:ascii="Garamond" w:hAnsi="Garamond"/>
          <w:sz w:val="24"/>
          <w:szCs w:val="24"/>
        </w:rPr>
        <w:t xml:space="preserve">depends on </w:t>
      </w:r>
      <w:r>
        <w:rPr>
          <w:rFonts w:ascii="Garamond" w:hAnsi="Garamond"/>
          <w:sz w:val="24"/>
          <w:szCs w:val="24"/>
        </w:rPr>
        <w:t xml:space="preserve">whether or not </w:t>
      </w:r>
      <w:r w:rsidRPr="006B69AC">
        <w:rPr>
          <w:rFonts w:ascii="Garamond" w:hAnsi="Garamond"/>
          <w:sz w:val="24"/>
          <w:szCs w:val="24"/>
        </w:rPr>
        <w:t xml:space="preserve">government </w:t>
      </w:r>
      <w:r>
        <w:rPr>
          <w:rFonts w:ascii="Garamond" w:hAnsi="Garamond"/>
          <w:sz w:val="24"/>
          <w:szCs w:val="24"/>
        </w:rPr>
        <w:t xml:space="preserve">is </w:t>
      </w:r>
      <w:r w:rsidRPr="006B69AC">
        <w:rPr>
          <w:rFonts w:ascii="Garamond" w:hAnsi="Garamond"/>
          <w:sz w:val="24"/>
          <w:szCs w:val="24"/>
        </w:rPr>
        <w:t>taking ownership for developing innovative policy frameworks</w:t>
      </w:r>
      <w:r>
        <w:rPr>
          <w:rFonts w:ascii="Garamond" w:hAnsi="Garamond"/>
          <w:sz w:val="24"/>
          <w:szCs w:val="24"/>
        </w:rPr>
        <w:t xml:space="preserve"> as well as </w:t>
      </w:r>
      <w:r w:rsidRPr="006B69AC">
        <w:rPr>
          <w:rFonts w:ascii="Garamond" w:hAnsi="Garamond"/>
          <w:sz w:val="24"/>
          <w:szCs w:val="24"/>
        </w:rPr>
        <w:t>on a meaningful involvement and engagement of stakeholders from the private sector and civil society.</w:t>
      </w:r>
      <w:r>
        <w:rPr>
          <w:rFonts w:ascii="Garamond" w:hAnsi="Garamond"/>
          <w:sz w:val="24"/>
          <w:szCs w:val="24"/>
        </w:rPr>
        <w:t xml:space="preserve"> In this regard, t</w:t>
      </w:r>
      <w:r w:rsidRPr="0077366A">
        <w:rPr>
          <w:rFonts w:ascii="Garamond" w:hAnsi="Garamond"/>
          <w:sz w:val="24"/>
          <w:szCs w:val="24"/>
        </w:rPr>
        <w:t xml:space="preserve">he framework helps </w:t>
      </w:r>
      <w:r>
        <w:rPr>
          <w:rFonts w:ascii="Garamond" w:hAnsi="Garamond"/>
          <w:sz w:val="24"/>
          <w:szCs w:val="24"/>
        </w:rPr>
        <w:t xml:space="preserve">to </w:t>
      </w:r>
      <w:r w:rsidRPr="0077366A">
        <w:rPr>
          <w:rFonts w:ascii="Garamond" w:hAnsi="Garamond"/>
          <w:sz w:val="24"/>
          <w:szCs w:val="24"/>
        </w:rPr>
        <w:t>answer the following questions.</w:t>
      </w:r>
      <w:r>
        <w:rPr>
          <w:rFonts w:ascii="Garamond" w:hAnsi="Garamond"/>
          <w:sz w:val="24"/>
          <w:szCs w:val="24"/>
        </w:rPr>
        <w:t xml:space="preserve"> </w:t>
      </w:r>
      <w:r w:rsidRPr="0077366A">
        <w:rPr>
          <w:rFonts w:ascii="Garamond" w:hAnsi="Garamond"/>
          <w:sz w:val="24"/>
          <w:szCs w:val="24"/>
        </w:rPr>
        <w:t>Who are the key actors? And what is the balance between different forms of finance (e.g. public versus private resources?</w:t>
      </w:r>
      <w:r>
        <w:rPr>
          <w:rFonts w:ascii="Garamond" w:hAnsi="Garamond"/>
          <w:sz w:val="24"/>
          <w:szCs w:val="24"/>
        </w:rPr>
        <w:t xml:space="preserve"> How does the </w:t>
      </w:r>
      <w:r>
        <w:rPr>
          <w:rFonts w:ascii="Garamond" w:hAnsi="Garamond"/>
          <w:sz w:val="24"/>
          <w:szCs w:val="24"/>
        </w:rPr>
        <w:lastRenderedPageBreak/>
        <w:t>sectoral composition of finance look like?</w:t>
      </w:r>
      <w:r w:rsidR="00333EFD">
        <w:rPr>
          <w:rFonts w:ascii="Garamond" w:hAnsi="Garamond"/>
          <w:sz w:val="24"/>
          <w:szCs w:val="24"/>
        </w:rPr>
        <w:t xml:space="preserve"> </w:t>
      </w:r>
      <w:r w:rsidR="00333EFD" w:rsidRPr="00333EFD">
        <w:rPr>
          <w:rFonts w:ascii="Garamond" w:eastAsiaTheme="minorHAnsi" w:hAnsi="Garamond" w:cs="Tahoma"/>
          <w:sz w:val="24"/>
          <w:szCs w:val="24"/>
        </w:rPr>
        <w:t xml:space="preserve">The findings and recommendations of the DFA are also expected to inform the implementation of the </w:t>
      </w:r>
      <w:r w:rsidR="00333EFD">
        <w:rPr>
          <w:rFonts w:ascii="Garamond" w:eastAsiaTheme="minorHAnsi" w:hAnsi="Garamond" w:cs="Tahoma"/>
          <w:sz w:val="24"/>
          <w:szCs w:val="24"/>
        </w:rPr>
        <w:t>GTP-</w:t>
      </w:r>
      <w:r w:rsidR="0037634A">
        <w:rPr>
          <w:rFonts w:ascii="Garamond" w:eastAsiaTheme="minorHAnsi" w:hAnsi="Garamond" w:cs="Tahoma"/>
          <w:sz w:val="24"/>
          <w:szCs w:val="24"/>
        </w:rPr>
        <w:t>II and</w:t>
      </w:r>
      <w:r w:rsidR="00333EFD">
        <w:rPr>
          <w:rFonts w:ascii="Garamond" w:eastAsiaTheme="minorHAnsi" w:hAnsi="Garamond" w:cs="Tahoma"/>
          <w:sz w:val="24"/>
          <w:szCs w:val="24"/>
        </w:rPr>
        <w:t xml:space="preserve"> </w:t>
      </w:r>
      <w:r w:rsidR="00333EFD" w:rsidRPr="00333EFD">
        <w:rPr>
          <w:rFonts w:ascii="Garamond" w:eastAsiaTheme="minorHAnsi" w:hAnsi="Garamond" w:cs="Tahoma"/>
          <w:sz w:val="24"/>
          <w:szCs w:val="24"/>
        </w:rPr>
        <w:t xml:space="preserve">will also inform the Development Cooperation </w:t>
      </w:r>
      <w:r w:rsidR="00333EFD">
        <w:rPr>
          <w:rFonts w:ascii="Garamond" w:eastAsiaTheme="minorHAnsi" w:hAnsi="Garamond" w:cs="Tahoma"/>
          <w:sz w:val="24"/>
          <w:szCs w:val="24"/>
        </w:rPr>
        <w:t>strategy</w:t>
      </w:r>
      <w:r w:rsidR="00333EFD" w:rsidRPr="00333EFD">
        <w:rPr>
          <w:rFonts w:ascii="Garamond" w:eastAsiaTheme="minorHAnsi" w:hAnsi="Garamond" w:cs="Tahoma"/>
          <w:sz w:val="24"/>
          <w:szCs w:val="24"/>
        </w:rPr>
        <w:t xml:space="preserve">, as well as the institutional arrangements necessary to implement the </w:t>
      </w:r>
      <w:r w:rsidR="00333EFD">
        <w:rPr>
          <w:rFonts w:ascii="Garamond" w:eastAsiaTheme="minorHAnsi" w:hAnsi="Garamond" w:cs="Tahoma"/>
          <w:sz w:val="24"/>
          <w:szCs w:val="24"/>
        </w:rPr>
        <w:t xml:space="preserve">cooperation. </w:t>
      </w:r>
      <w:r w:rsidR="0039194E">
        <w:rPr>
          <w:rFonts w:ascii="Garamond" w:eastAsiaTheme="minorHAnsi" w:hAnsi="Garamond" w:cs="Tahoma"/>
          <w:sz w:val="24"/>
          <w:szCs w:val="24"/>
        </w:rPr>
        <w:t xml:space="preserve">Note that </w:t>
      </w:r>
      <w:r w:rsidR="0039194E" w:rsidRPr="0039194E">
        <w:rPr>
          <w:rFonts w:ascii="Garamond" w:eastAsiaTheme="minorHAnsi" w:hAnsi="Garamond" w:cs="Tahoma"/>
          <w:sz w:val="24"/>
          <w:szCs w:val="24"/>
        </w:rPr>
        <w:t xml:space="preserve">the Development Finance Assessment (DFA) provides both the baseline and the road map for implementing reforms needed for </w:t>
      </w:r>
      <w:r w:rsidR="0039194E">
        <w:rPr>
          <w:rFonts w:ascii="Garamond" w:eastAsiaTheme="minorHAnsi" w:hAnsi="Garamond" w:cs="Tahoma"/>
          <w:sz w:val="24"/>
          <w:szCs w:val="24"/>
        </w:rPr>
        <w:t xml:space="preserve">adopting and implementing an </w:t>
      </w:r>
      <w:r w:rsidR="0039194E" w:rsidRPr="0039194E">
        <w:rPr>
          <w:rFonts w:ascii="Garamond" w:eastAsiaTheme="minorHAnsi" w:hAnsi="Garamond" w:cs="Tahoma"/>
          <w:sz w:val="24"/>
          <w:szCs w:val="24"/>
        </w:rPr>
        <w:t>integrated national financing framework</w:t>
      </w:r>
      <w:r w:rsidR="0039194E">
        <w:rPr>
          <w:rFonts w:ascii="Garamond" w:eastAsiaTheme="minorHAnsi" w:hAnsi="Garamond" w:cs="Tahoma"/>
          <w:sz w:val="24"/>
          <w:szCs w:val="24"/>
        </w:rPr>
        <w:t xml:space="preserve">. </w:t>
      </w:r>
    </w:p>
    <w:p w:rsidR="009401E0" w:rsidRDefault="009401E0" w:rsidP="00C26A15">
      <w:pPr>
        <w:pStyle w:val="Caption"/>
        <w:spacing w:after="0"/>
        <w:rPr>
          <w:rFonts w:ascii="Garamond" w:hAnsi="Garamond"/>
          <w:sz w:val="22"/>
          <w:szCs w:val="22"/>
        </w:rPr>
      </w:pPr>
      <w:r w:rsidRPr="0039194E">
        <w:rPr>
          <w:rFonts w:ascii="Garamond" w:eastAsiaTheme="minorHAnsi" w:hAnsi="Garamond" w:cs="Tahoma"/>
          <w:b w:val="0"/>
          <w:bCs w:val="0"/>
          <w:color w:val="auto"/>
          <w:sz w:val="24"/>
          <w:szCs w:val="24"/>
          <w:lang w:val="en-US" w:eastAsia="en-US"/>
        </w:rPr>
        <w:br w:type="page"/>
      </w:r>
      <w:bookmarkStart w:id="17" w:name="_Toc486585936"/>
      <w:r w:rsidR="00FF0822" w:rsidRPr="00FF0822">
        <w:rPr>
          <w:rFonts w:ascii="Garamond" w:hAnsi="Garamond"/>
          <w:sz w:val="22"/>
          <w:szCs w:val="22"/>
        </w:rPr>
        <w:lastRenderedPageBreak/>
        <w:t xml:space="preserve">Figure </w:t>
      </w:r>
      <w:r w:rsidR="00BF3BBC" w:rsidRPr="00FF0822">
        <w:rPr>
          <w:rFonts w:ascii="Garamond" w:hAnsi="Garamond"/>
          <w:sz w:val="22"/>
          <w:szCs w:val="22"/>
        </w:rPr>
        <w:fldChar w:fldCharType="begin"/>
      </w:r>
      <w:r w:rsidR="00FF0822" w:rsidRPr="00FF0822">
        <w:rPr>
          <w:rFonts w:ascii="Garamond" w:hAnsi="Garamond"/>
          <w:sz w:val="22"/>
          <w:szCs w:val="22"/>
        </w:rPr>
        <w:instrText xml:space="preserve"> SEQ Figure \* ARABIC </w:instrText>
      </w:r>
      <w:r w:rsidR="00BF3BBC" w:rsidRPr="00FF0822">
        <w:rPr>
          <w:rFonts w:ascii="Garamond" w:hAnsi="Garamond"/>
          <w:sz w:val="22"/>
          <w:szCs w:val="22"/>
        </w:rPr>
        <w:fldChar w:fldCharType="separate"/>
      </w:r>
      <w:r w:rsidR="006C24A4">
        <w:rPr>
          <w:rFonts w:ascii="Garamond" w:hAnsi="Garamond"/>
          <w:noProof/>
          <w:sz w:val="22"/>
          <w:szCs w:val="22"/>
        </w:rPr>
        <w:t>1</w:t>
      </w:r>
      <w:r w:rsidR="00BF3BBC" w:rsidRPr="00FF0822">
        <w:rPr>
          <w:rFonts w:ascii="Garamond" w:hAnsi="Garamond"/>
          <w:sz w:val="22"/>
          <w:szCs w:val="22"/>
        </w:rPr>
        <w:fldChar w:fldCharType="end"/>
      </w:r>
      <w:r w:rsidRPr="00FF0822">
        <w:rPr>
          <w:rFonts w:ascii="Garamond" w:hAnsi="Garamond"/>
          <w:sz w:val="22"/>
          <w:szCs w:val="22"/>
        </w:rPr>
        <w:t xml:space="preserve">: </w:t>
      </w:r>
      <w:r w:rsidR="00DF0518">
        <w:rPr>
          <w:rFonts w:ascii="Garamond" w:hAnsi="Garamond"/>
          <w:sz w:val="22"/>
          <w:szCs w:val="22"/>
        </w:rPr>
        <w:t>Development Finance Assessment</w:t>
      </w:r>
      <w:r w:rsidR="004505C8">
        <w:rPr>
          <w:rFonts w:ascii="Garamond" w:hAnsi="Garamond"/>
          <w:sz w:val="22"/>
          <w:szCs w:val="22"/>
        </w:rPr>
        <w:t xml:space="preserve"> (DFA)</w:t>
      </w:r>
      <w:r w:rsidR="00DF0518">
        <w:rPr>
          <w:rFonts w:ascii="Garamond" w:hAnsi="Garamond"/>
          <w:sz w:val="22"/>
          <w:szCs w:val="22"/>
        </w:rPr>
        <w:t xml:space="preserve"> </w:t>
      </w:r>
      <w:r w:rsidR="004505C8">
        <w:rPr>
          <w:rFonts w:ascii="Garamond" w:hAnsi="Garamond"/>
          <w:sz w:val="22"/>
          <w:szCs w:val="22"/>
        </w:rPr>
        <w:t xml:space="preserve">tool </w:t>
      </w:r>
      <w:r w:rsidR="001E60BF">
        <w:rPr>
          <w:rFonts w:ascii="Garamond" w:hAnsi="Garamond"/>
          <w:sz w:val="22"/>
          <w:szCs w:val="22"/>
        </w:rPr>
        <w:t xml:space="preserve">as </w:t>
      </w:r>
      <w:bookmarkEnd w:id="17"/>
      <w:r w:rsidR="004505C8">
        <w:rPr>
          <w:rFonts w:ascii="Garamond" w:hAnsi="Garamond"/>
          <w:sz w:val="22"/>
          <w:szCs w:val="22"/>
        </w:rPr>
        <w:t xml:space="preserve">an integrated financing framework  </w:t>
      </w:r>
    </w:p>
    <w:p w:rsidR="00C763FD" w:rsidRPr="00C763FD" w:rsidRDefault="00C763FD" w:rsidP="00C763FD">
      <w:pPr>
        <w:rPr>
          <w:lang w:val="en-GB" w:eastAsia="en-GB"/>
        </w:rPr>
      </w:pPr>
      <w:r w:rsidRPr="00C763FD">
        <w:rPr>
          <w:noProof/>
        </w:rPr>
        <w:drawing>
          <wp:inline distT="0" distB="0" distL="0" distR="0">
            <wp:extent cx="5943600" cy="3668889"/>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68889"/>
                    </a:xfrm>
                    <a:prstGeom prst="rect">
                      <a:avLst/>
                    </a:prstGeom>
                    <a:noFill/>
                    <a:ln>
                      <a:noFill/>
                    </a:ln>
                  </pic:spPr>
                </pic:pic>
              </a:graphicData>
            </a:graphic>
          </wp:inline>
        </w:drawing>
      </w:r>
    </w:p>
    <w:p w:rsidR="009401E0" w:rsidRPr="00D637EA" w:rsidRDefault="009401E0" w:rsidP="00C26A15">
      <w:pPr>
        <w:autoSpaceDE w:val="0"/>
        <w:autoSpaceDN w:val="0"/>
        <w:adjustRightInd w:val="0"/>
        <w:spacing w:after="0" w:line="240" w:lineRule="auto"/>
        <w:jc w:val="both"/>
        <w:rPr>
          <w:rFonts w:ascii="Garamond" w:hAnsi="Garamond"/>
        </w:rPr>
      </w:pPr>
      <w:r w:rsidRPr="00D637EA">
        <w:rPr>
          <w:rFonts w:ascii="Garamond" w:hAnsi="Garamond"/>
        </w:rPr>
        <w:t xml:space="preserve">Source: </w:t>
      </w:r>
      <w:r w:rsidR="0080776E">
        <w:rPr>
          <w:rFonts w:ascii="Garamond" w:hAnsi="Garamond"/>
        </w:rPr>
        <w:t>AP-DEF and UNDP</w:t>
      </w:r>
      <w:r w:rsidRPr="00D637EA">
        <w:rPr>
          <w:rFonts w:ascii="Garamond" w:hAnsi="Garamond"/>
        </w:rPr>
        <w:t xml:space="preserve"> (2016)</w:t>
      </w:r>
    </w:p>
    <w:p w:rsidR="009401E0" w:rsidRDefault="009401E0" w:rsidP="00C26A15">
      <w:pPr>
        <w:tabs>
          <w:tab w:val="num" w:pos="720"/>
        </w:tabs>
        <w:autoSpaceDE w:val="0"/>
        <w:autoSpaceDN w:val="0"/>
        <w:adjustRightInd w:val="0"/>
        <w:spacing w:after="0" w:line="240" w:lineRule="auto"/>
        <w:jc w:val="both"/>
        <w:rPr>
          <w:rFonts w:ascii="Garamond" w:hAnsi="Garamond"/>
          <w:sz w:val="24"/>
          <w:szCs w:val="24"/>
        </w:rPr>
      </w:pPr>
    </w:p>
    <w:p w:rsidR="009401E0" w:rsidRDefault="009401E0" w:rsidP="00C26A15">
      <w:pPr>
        <w:tabs>
          <w:tab w:val="num" w:pos="720"/>
        </w:tabs>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Five </w:t>
      </w:r>
      <w:r w:rsidRPr="00475414">
        <w:rPr>
          <w:rFonts w:ascii="Garamond" w:hAnsi="Garamond"/>
          <w:sz w:val="24"/>
          <w:szCs w:val="24"/>
        </w:rPr>
        <w:t>strands of work</w:t>
      </w:r>
      <w:r>
        <w:rPr>
          <w:rFonts w:ascii="Garamond" w:hAnsi="Garamond"/>
          <w:sz w:val="24"/>
          <w:szCs w:val="24"/>
        </w:rPr>
        <w:t xml:space="preserve"> are</w:t>
      </w:r>
      <w:r w:rsidRPr="00475414">
        <w:rPr>
          <w:rFonts w:ascii="Garamond" w:hAnsi="Garamond"/>
          <w:sz w:val="24"/>
          <w:szCs w:val="24"/>
        </w:rPr>
        <w:t xml:space="preserve"> of particular relevance for the analysis: (i) </w:t>
      </w:r>
      <w:r>
        <w:rPr>
          <w:rFonts w:ascii="Garamond" w:hAnsi="Garamond"/>
          <w:sz w:val="24"/>
          <w:szCs w:val="24"/>
        </w:rPr>
        <w:t>Review</w:t>
      </w:r>
      <w:r w:rsidRPr="00475414">
        <w:rPr>
          <w:rFonts w:ascii="Garamond" w:hAnsi="Garamond"/>
          <w:sz w:val="24"/>
          <w:szCs w:val="24"/>
        </w:rPr>
        <w:t xml:space="preserve"> of </w:t>
      </w:r>
      <w:r>
        <w:rPr>
          <w:rFonts w:ascii="Garamond" w:hAnsi="Garamond"/>
          <w:sz w:val="24"/>
          <w:szCs w:val="24"/>
        </w:rPr>
        <w:t>reports on Addis Agenda monitoring commitments and actions</w:t>
      </w:r>
      <w:r w:rsidRPr="00475414">
        <w:rPr>
          <w:rStyle w:val="FootnoteReference"/>
          <w:rFonts w:ascii="Garamond" w:hAnsi="Garamond"/>
          <w:i/>
          <w:iCs/>
          <w:sz w:val="24"/>
          <w:szCs w:val="24"/>
        </w:rPr>
        <w:footnoteReference w:id="4"/>
      </w:r>
      <w:r w:rsidRPr="00475414">
        <w:rPr>
          <w:rFonts w:ascii="Garamond" w:hAnsi="Garamond"/>
          <w:sz w:val="24"/>
          <w:szCs w:val="24"/>
        </w:rPr>
        <w:t xml:space="preserve">; (ii) The </w:t>
      </w:r>
      <w:r>
        <w:rPr>
          <w:rFonts w:ascii="Garamond" w:hAnsi="Garamond"/>
          <w:sz w:val="24"/>
          <w:szCs w:val="24"/>
        </w:rPr>
        <w:t>UNDESA Briefing Note on AAAA</w:t>
      </w:r>
      <w:r w:rsidRPr="00475414">
        <w:rPr>
          <w:rStyle w:val="FootnoteReference"/>
          <w:rFonts w:ascii="Garamond" w:hAnsi="Garamond"/>
          <w:sz w:val="24"/>
          <w:szCs w:val="24"/>
        </w:rPr>
        <w:footnoteReference w:id="5"/>
      </w:r>
      <w:r w:rsidRPr="00475414">
        <w:rPr>
          <w:rFonts w:ascii="Garamond" w:hAnsi="Garamond"/>
          <w:sz w:val="24"/>
          <w:szCs w:val="24"/>
        </w:rPr>
        <w:t xml:space="preserve">; </w:t>
      </w:r>
      <w:r>
        <w:rPr>
          <w:rFonts w:ascii="Garamond" w:hAnsi="Garamond"/>
          <w:sz w:val="24"/>
          <w:szCs w:val="24"/>
        </w:rPr>
        <w:t xml:space="preserve">(iii) </w:t>
      </w:r>
      <w:r w:rsidRPr="0005022B">
        <w:rPr>
          <w:rFonts w:ascii="Garamond" w:hAnsi="Garamond"/>
          <w:sz w:val="24"/>
          <w:szCs w:val="24"/>
        </w:rPr>
        <w:t xml:space="preserve">recent research work on </w:t>
      </w:r>
      <w:r w:rsidRPr="00F12B1C">
        <w:rPr>
          <w:rFonts w:ascii="Garamond" w:hAnsi="Garamond"/>
          <w:i/>
          <w:sz w:val="24"/>
          <w:szCs w:val="24"/>
        </w:rPr>
        <w:t xml:space="preserve">financing the post-2015 sustainable development goals </w:t>
      </w:r>
      <w:r>
        <w:rPr>
          <w:rFonts w:ascii="Garamond" w:hAnsi="Garamond"/>
          <w:sz w:val="24"/>
          <w:szCs w:val="24"/>
        </w:rPr>
        <w:t>(SDGs)</w:t>
      </w:r>
      <w:r>
        <w:rPr>
          <w:rStyle w:val="FootnoteReference"/>
          <w:rFonts w:ascii="Garamond" w:hAnsi="Garamond"/>
          <w:sz w:val="24"/>
          <w:szCs w:val="24"/>
        </w:rPr>
        <w:footnoteReference w:id="6"/>
      </w:r>
      <w:r>
        <w:rPr>
          <w:rFonts w:ascii="Garamond" w:hAnsi="Garamond"/>
          <w:sz w:val="24"/>
          <w:szCs w:val="24"/>
        </w:rPr>
        <w:t>;</w:t>
      </w:r>
      <w:r w:rsidRPr="00475414">
        <w:rPr>
          <w:rFonts w:ascii="Garamond" w:hAnsi="Garamond"/>
          <w:sz w:val="24"/>
          <w:szCs w:val="24"/>
        </w:rPr>
        <w:t xml:space="preserve"> (i</w:t>
      </w:r>
      <w:r>
        <w:rPr>
          <w:rFonts w:ascii="Garamond" w:hAnsi="Garamond"/>
          <w:sz w:val="24"/>
          <w:szCs w:val="24"/>
        </w:rPr>
        <w:t>v</w:t>
      </w:r>
      <w:r w:rsidRPr="00475414">
        <w:rPr>
          <w:rFonts w:ascii="Garamond" w:hAnsi="Garamond"/>
          <w:sz w:val="24"/>
          <w:szCs w:val="24"/>
        </w:rPr>
        <w:t>)</w:t>
      </w:r>
      <w:r>
        <w:rPr>
          <w:rFonts w:ascii="Garamond" w:hAnsi="Garamond"/>
          <w:sz w:val="24"/>
          <w:szCs w:val="24"/>
        </w:rPr>
        <w:t xml:space="preserve"> recent research works on </w:t>
      </w:r>
      <w:r w:rsidR="00F803BF">
        <w:rPr>
          <w:rFonts w:ascii="Garamond" w:hAnsi="Garamond"/>
          <w:sz w:val="24"/>
          <w:szCs w:val="24"/>
        </w:rPr>
        <w:t>development finance framework</w:t>
      </w:r>
      <w:r w:rsidRPr="00F12B1C">
        <w:rPr>
          <w:rStyle w:val="FootnoteReference"/>
          <w:rFonts w:ascii="Garamond" w:hAnsi="Garamond"/>
          <w:i/>
          <w:sz w:val="24"/>
          <w:szCs w:val="24"/>
        </w:rPr>
        <w:footnoteReference w:id="7"/>
      </w:r>
      <w:r w:rsidRPr="00F12B1C">
        <w:rPr>
          <w:rFonts w:ascii="Garamond" w:hAnsi="Garamond"/>
          <w:i/>
          <w:sz w:val="24"/>
          <w:szCs w:val="24"/>
        </w:rPr>
        <w:t xml:space="preserve">; </w:t>
      </w:r>
      <w:r w:rsidRPr="00F12B1C">
        <w:rPr>
          <w:rFonts w:ascii="Garamond" w:hAnsi="Garamond" w:cs="Calibri"/>
          <w:i/>
          <w:color w:val="000000"/>
          <w:sz w:val="24"/>
          <w:szCs w:val="24"/>
        </w:rPr>
        <w:t>C</w:t>
      </w:r>
      <w:r w:rsidR="00AF624A">
        <w:rPr>
          <w:rFonts w:ascii="Garamond" w:hAnsi="Garamond" w:cs="Calibri"/>
          <w:i/>
          <w:color w:val="000000"/>
          <w:sz w:val="24"/>
          <w:szCs w:val="24"/>
        </w:rPr>
        <w:t>ountry case study on integrated financing strategy</w:t>
      </w:r>
      <w:r w:rsidRPr="00F12B1C">
        <w:rPr>
          <w:rStyle w:val="FootnoteReference"/>
          <w:rFonts w:ascii="Garamond" w:hAnsi="Garamond"/>
          <w:i/>
          <w:sz w:val="24"/>
          <w:szCs w:val="24"/>
        </w:rPr>
        <w:footnoteReference w:id="8"/>
      </w:r>
      <w:r w:rsidRPr="00F12B1C">
        <w:rPr>
          <w:rFonts w:ascii="Garamond" w:hAnsi="Garamond"/>
          <w:i/>
          <w:sz w:val="24"/>
          <w:szCs w:val="24"/>
        </w:rPr>
        <w:t xml:space="preserve">; </w:t>
      </w:r>
      <w:r>
        <w:rPr>
          <w:rFonts w:ascii="Garamond" w:hAnsi="Garamond"/>
          <w:sz w:val="24"/>
          <w:szCs w:val="24"/>
        </w:rPr>
        <w:t xml:space="preserve">and (v) Government plans such as Growth Transformation Plan (GTP-II) and its policy matrix as well as other relevant strategies including the CRGE Strategy. </w:t>
      </w:r>
    </w:p>
    <w:p w:rsidR="009401E0" w:rsidRDefault="009401E0" w:rsidP="00C26A15">
      <w:pPr>
        <w:tabs>
          <w:tab w:val="num" w:pos="720"/>
        </w:tabs>
        <w:autoSpaceDE w:val="0"/>
        <w:autoSpaceDN w:val="0"/>
        <w:adjustRightInd w:val="0"/>
        <w:spacing w:after="0" w:line="240" w:lineRule="auto"/>
        <w:jc w:val="both"/>
        <w:rPr>
          <w:rStyle w:val="apple-converted-space"/>
          <w:rFonts w:ascii="Arial" w:hAnsi="Arial" w:cs="Arial"/>
          <w:color w:val="595959"/>
          <w:sz w:val="23"/>
          <w:szCs w:val="23"/>
          <w:shd w:val="clear" w:color="auto" w:fill="FFFFFF"/>
        </w:rPr>
      </w:pPr>
      <w:r>
        <w:rPr>
          <w:rStyle w:val="apple-converted-space"/>
          <w:rFonts w:ascii="Arial" w:hAnsi="Arial" w:cs="Arial"/>
          <w:color w:val="595959"/>
          <w:sz w:val="23"/>
          <w:szCs w:val="23"/>
          <w:shd w:val="clear" w:color="auto" w:fill="FFFFFF"/>
        </w:rPr>
        <w:t> </w:t>
      </w:r>
    </w:p>
    <w:p w:rsidR="009401E0" w:rsidRDefault="009401E0" w:rsidP="00C26A15">
      <w:pPr>
        <w:autoSpaceDE w:val="0"/>
        <w:autoSpaceDN w:val="0"/>
        <w:adjustRightInd w:val="0"/>
        <w:spacing w:after="0" w:line="240" w:lineRule="auto"/>
        <w:jc w:val="both"/>
        <w:rPr>
          <w:rFonts w:ascii="Garamond" w:hAnsi="Garamond"/>
          <w:sz w:val="24"/>
          <w:szCs w:val="24"/>
        </w:rPr>
      </w:pPr>
      <w:r w:rsidRPr="00392B78">
        <w:rPr>
          <w:rFonts w:ascii="Garamond" w:hAnsi="Garamond"/>
          <w:sz w:val="24"/>
          <w:szCs w:val="24"/>
        </w:rPr>
        <w:t>In analytical terms</w:t>
      </w:r>
      <w:r>
        <w:rPr>
          <w:rFonts w:ascii="Garamond" w:hAnsi="Garamond"/>
          <w:sz w:val="24"/>
          <w:szCs w:val="24"/>
        </w:rPr>
        <w:t xml:space="preserve">, </w:t>
      </w:r>
      <w:r w:rsidRPr="00067E05">
        <w:rPr>
          <w:rFonts w:ascii="Garamond" w:eastAsia="Calibri" w:hAnsi="Garamond"/>
          <w:sz w:val="24"/>
          <w:szCs w:val="24"/>
        </w:rPr>
        <w:t xml:space="preserve">the study </w:t>
      </w:r>
      <w:r>
        <w:rPr>
          <w:rFonts w:ascii="Garamond" w:eastAsia="Calibri" w:hAnsi="Garamond"/>
          <w:sz w:val="24"/>
          <w:szCs w:val="24"/>
        </w:rPr>
        <w:t>is subdivided into f</w:t>
      </w:r>
      <w:r w:rsidR="004E5D3E">
        <w:rPr>
          <w:rFonts w:ascii="Garamond" w:eastAsia="Calibri" w:hAnsi="Garamond"/>
          <w:sz w:val="24"/>
          <w:szCs w:val="24"/>
        </w:rPr>
        <w:t xml:space="preserve">ive </w:t>
      </w:r>
      <w:r w:rsidRPr="00067E05">
        <w:rPr>
          <w:rFonts w:ascii="Garamond" w:eastAsia="Calibri" w:hAnsi="Garamond"/>
          <w:bCs/>
          <w:i/>
          <w:iCs/>
          <w:sz w:val="24"/>
          <w:szCs w:val="24"/>
        </w:rPr>
        <w:t>analytical components</w:t>
      </w:r>
      <w:r w:rsidRPr="00392B78">
        <w:rPr>
          <w:rFonts w:ascii="Garamond" w:hAnsi="Garamond"/>
          <w:sz w:val="24"/>
          <w:szCs w:val="24"/>
        </w:rPr>
        <w:t xml:space="preserve">: </w:t>
      </w:r>
      <w:r>
        <w:rPr>
          <w:rFonts w:ascii="Garamond" w:hAnsi="Garamond"/>
          <w:sz w:val="24"/>
          <w:szCs w:val="24"/>
        </w:rPr>
        <w:t xml:space="preserve">(i) </w:t>
      </w:r>
      <w:r>
        <w:rPr>
          <w:rFonts w:ascii="Garamond" w:eastAsia="Calibri" w:hAnsi="Garamond"/>
          <w:sz w:val="24"/>
          <w:szCs w:val="24"/>
        </w:rPr>
        <w:t xml:space="preserve">a </w:t>
      </w:r>
      <w:r w:rsidRPr="00613298">
        <w:rPr>
          <w:rFonts w:ascii="Garamond" w:eastAsia="Calibri" w:hAnsi="Garamond"/>
          <w:sz w:val="24"/>
          <w:szCs w:val="24"/>
        </w:rPr>
        <w:t xml:space="preserve">general </w:t>
      </w:r>
      <w:r>
        <w:rPr>
          <w:rFonts w:ascii="Garamond" w:eastAsia="Calibri" w:hAnsi="Garamond"/>
          <w:sz w:val="24"/>
          <w:szCs w:val="24"/>
        </w:rPr>
        <w:t xml:space="preserve">review </w:t>
      </w:r>
      <w:r w:rsidRPr="00613298">
        <w:rPr>
          <w:rFonts w:ascii="Garamond" w:eastAsia="Calibri" w:hAnsi="Garamond"/>
          <w:sz w:val="24"/>
          <w:szCs w:val="24"/>
        </w:rPr>
        <w:t>of the</w:t>
      </w:r>
      <w:r>
        <w:rPr>
          <w:rFonts w:ascii="Garamond" w:eastAsia="Calibri" w:hAnsi="Garamond"/>
          <w:sz w:val="24"/>
          <w:szCs w:val="24"/>
        </w:rPr>
        <w:t xml:space="preserve"> Addis Agenda </w:t>
      </w:r>
      <w:r w:rsidRPr="00613298">
        <w:rPr>
          <w:rFonts w:ascii="Garamond" w:eastAsia="Calibri" w:hAnsi="Garamond"/>
          <w:sz w:val="24"/>
          <w:szCs w:val="24"/>
        </w:rPr>
        <w:t xml:space="preserve">and </w:t>
      </w:r>
      <w:r>
        <w:rPr>
          <w:rFonts w:ascii="Garamond" w:eastAsia="Calibri" w:hAnsi="Garamond"/>
          <w:sz w:val="24"/>
          <w:szCs w:val="24"/>
        </w:rPr>
        <w:t xml:space="preserve">SDGs </w:t>
      </w:r>
      <w:r w:rsidRPr="00067E05">
        <w:rPr>
          <w:rFonts w:ascii="Garamond" w:eastAsia="Calibri" w:hAnsi="Garamond"/>
          <w:sz w:val="24"/>
          <w:szCs w:val="24"/>
        </w:rPr>
        <w:t>(the ‘</w:t>
      </w:r>
      <w:r>
        <w:rPr>
          <w:rFonts w:ascii="Garamond" w:eastAsia="Calibri" w:hAnsi="Garamond"/>
          <w:sz w:val="24"/>
          <w:szCs w:val="24"/>
        </w:rPr>
        <w:t>Review of Addis Agenda and SDGs</w:t>
      </w:r>
      <w:r w:rsidRPr="00067E05">
        <w:rPr>
          <w:rFonts w:ascii="Garamond" w:eastAsia="Calibri" w:hAnsi="Garamond"/>
          <w:sz w:val="24"/>
          <w:szCs w:val="24"/>
        </w:rPr>
        <w:t>’);</w:t>
      </w:r>
      <w:r>
        <w:rPr>
          <w:rFonts w:ascii="Garamond" w:eastAsia="Calibri" w:hAnsi="Garamond"/>
          <w:sz w:val="24"/>
          <w:szCs w:val="24"/>
        </w:rPr>
        <w:t xml:space="preserve"> (ii) </w:t>
      </w:r>
      <w:r w:rsidRPr="00392B78">
        <w:rPr>
          <w:rFonts w:ascii="Garamond" w:hAnsi="Garamond"/>
          <w:sz w:val="24"/>
          <w:szCs w:val="24"/>
        </w:rPr>
        <w:t xml:space="preserve">a review of </w:t>
      </w:r>
      <w:r>
        <w:rPr>
          <w:rFonts w:ascii="Garamond" w:hAnsi="Garamond"/>
          <w:sz w:val="24"/>
          <w:szCs w:val="24"/>
        </w:rPr>
        <w:t>national polices, strategies</w:t>
      </w:r>
      <w:r w:rsidR="00216087">
        <w:rPr>
          <w:rFonts w:ascii="Garamond" w:hAnsi="Garamond"/>
          <w:sz w:val="24"/>
          <w:szCs w:val="24"/>
        </w:rPr>
        <w:t xml:space="preserve">, </w:t>
      </w:r>
      <w:r>
        <w:rPr>
          <w:rFonts w:ascii="Garamond" w:hAnsi="Garamond"/>
          <w:sz w:val="24"/>
          <w:szCs w:val="24"/>
        </w:rPr>
        <w:t>plans</w:t>
      </w:r>
      <w:r w:rsidR="00216087">
        <w:rPr>
          <w:rFonts w:ascii="Garamond" w:hAnsi="Garamond"/>
          <w:sz w:val="24"/>
          <w:szCs w:val="24"/>
        </w:rPr>
        <w:t xml:space="preserve"> and institutional </w:t>
      </w:r>
      <w:r w:rsidR="00867E09">
        <w:rPr>
          <w:rFonts w:ascii="Garamond" w:hAnsi="Garamond"/>
          <w:sz w:val="24"/>
          <w:szCs w:val="24"/>
        </w:rPr>
        <w:t>arrangements</w:t>
      </w:r>
      <w:r>
        <w:rPr>
          <w:rFonts w:ascii="Garamond" w:hAnsi="Garamond"/>
          <w:sz w:val="24"/>
          <w:szCs w:val="24"/>
        </w:rPr>
        <w:t xml:space="preserve"> </w:t>
      </w:r>
      <w:r w:rsidRPr="00392B78">
        <w:rPr>
          <w:rFonts w:ascii="Garamond" w:hAnsi="Garamond"/>
          <w:sz w:val="24"/>
          <w:szCs w:val="24"/>
        </w:rPr>
        <w:t>(‘</w:t>
      </w:r>
      <w:r>
        <w:rPr>
          <w:rFonts w:ascii="Garamond" w:hAnsi="Garamond"/>
          <w:sz w:val="24"/>
          <w:szCs w:val="24"/>
        </w:rPr>
        <w:t>Review of national policies</w:t>
      </w:r>
      <w:r w:rsidR="00FB366C">
        <w:rPr>
          <w:rFonts w:ascii="Garamond" w:hAnsi="Garamond"/>
          <w:sz w:val="24"/>
          <w:szCs w:val="24"/>
        </w:rPr>
        <w:t>, strategies, plans</w:t>
      </w:r>
      <w:r w:rsidR="00216087">
        <w:rPr>
          <w:rFonts w:ascii="Garamond" w:hAnsi="Garamond"/>
          <w:sz w:val="24"/>
          <w:szCs w:val="24"/>
        </w:rPr>
        <w:t xml:space="preserve"> and institutions</w:t>
      </w:r>
      <w:r>
        <w:rPr>
          <w:rFonts w:ascii="Garamond" w:hAnsi="Garamond"/>
          <w:sz w:val="24"/>
          <w:szCs w:val="24"/>
        </w:rPr>
        <w:t>’);</w:t>
      </w:r>
      <w:r w:rsidRPr="00392B78">
        <w:rPr>
          <w:rFonts w:ascii="Garamond" w:hAnsi="Garamond"/>
          <w:sz w:val="24"/>
          <w:szCs w:val="24"/>
        </w:rPr>
        <w:t xml:space="preserve"> (iii) analysis of regional and global </w:t>
      </w:r>
      <w:r>
        <w:rPr>
          <w:rFonts w:ascii="Garamond" w:hAnsi="Garamond"/>
          <w:sz w:val="24"/>
          <w:szCs w:val="24"/>
        </w:rPr>
        <w:t xml:space="preserve">policies, strategies and plans related to the Addis </w:t>
      </w:r>
      <w:r>
        <w:rPr>
          <w:rFonts w:ascii="Garamond" w:hAnsi="Garamond"/>
          <w:sz w:val="24"/>
          <w:szCs w:val="24"/>
        </w:rPr>
        <w:lastRenderedPageBreak/>
        <w:t>Agenda</w:t>
      </w:r>
      <w:r w:rsidRPr="00392B78">
        <w:rPr>
          <w:rFonts w:ascii="Garamond" w:hAnsi="Garamond"/>
          <w:sz w:val="24"/>
          <w:szCs w:val="24"/>
        </w:rPr>
        <w:t xml:space="preserve"> (‘</w:t>
      </w:r>
      <w:r>
        <w:rPr>
          <w:rFonts w:ascii="Garamond" w:hAnsi="Garamond"/>
          <w:sz w:val="24"/>
          <w:szCs w:val="24"/>
        </w:rPr>
        <w:t>Review of r</w:t>
      </w:r>
      <w:r w:rsidRPr="00392B78">
        <w:rPr>
          <w:rFonts w:ascii="Garamond" w:hAnsi="Garamond"/>
          <w:sz w:val="24"/>
          <w:szCs w:val="24"/>
        </w:rPr>
        <w:t>egional and global</w:t>
      </w:r>
      <w:r>
        <w:rPr>
          <w:rFonts w:ascii="Garamond" w:hAnsi="Garamond"/>
          <w:sz w:val="24"/>
          <w:szCs w:val="24"/>
        </w:rPr>
        <w:t xml:space="preserve"> policies, strategies and plans</w:t>
      </w:r>
      <w:r w:rsidRPr="00392B78">
        <w:rPr>
          <w:rFonts w:ascii="Garamond" w:hAnsi="Garamond"/>
          <w:sz w:val="24"/>
          <w:szCs w:val="24"/>
        </w:rPr>
        <w:t>’)</w:t>
      </w:r>
      <w:r>
        <w:rPr>
          <w:rFonts w:ascii="Garamond" w:hAnsi="Garamond"/>
          <w:sz w:val="24"/>
          <w:szCs w:val="24"/>
        </w:rPr>
        <w:t xml:space="preserve">; and (iv) </w:t>
      </w:r>
      <w:r w:rsidR="00DF035D">
        <w:rPr>
          <w:rFonts w:ascii="Garamond" w:hAnsi="Garamond"/>
          <w:sz w:val="24"/>
          <w:szCs w:val="24"/>
        </w:rPr>
        <w:t xml:space="preserve">assessment of domestic and external development financing strategies (‘Assessment of development finance’); (v)  </w:t>
      </w:r>
      <w:r>
        <w:rPr>
          <w:rFonts w:ascii="Garamond" w:hAnsi="Garamond"/>
          <w:sz w:val="24"/>
          <w:szCs w:val="24"/>
        </w:rPr>
        <w:t>identification of priority areas and development of a matrix of interventions (‘Priority areas and matrix of interventions’)</w:t>
      </w:r>
      <w:r w:rsidRPr="00392B78">
        <w:rPr>
          <w:rFonts w:ascii="Garamond" w:hAnsi="Garamond"/>
          <w:sz w:val="24"/>
          <w:szCs w:val="24"/>
        </w:rPr>
        <w:t xml:space="preserve">. </w:t>
      </w:r>
    </w:p>
    <w:p w:rsidR="00F06229" w:rsidRDefault="00F06229" w:rsidP="00C26A15">
      <w:pPr>
        <w:autoSpaceDE w:val="0"/>
        <w:autoSpaceDN w:val="0"/>
        <w:adjustRightInd w:val="0"/>
        <w:spacing w:after="0" w:line="240" w:lineRule="auto"/>
        <w:jc w:val="both"/>
        <w:rPr>
          <w:rFonts w:ascii="Garamond" w:hAnsi="Garamond"/>
          <w:sz w:val="24"/>
          <w:szCs w:val="24"/>
        </w:rPr>
      </w:pPr>
    </w:p>
    <w:p w:rsidR="009401E0" w:rsidRPr="009401E0" w:rsidRDefault="009401E0" w:rsidP="00C26A15">
      <w:pPr>
        <w:pStyle w:val="Heading3"/>
        <w:spacing w:before="0" w:line="240" w:lineRule="auto"/>
        <w:rPr>
          <w:rFonts w:ascii="Garamond" w:hAnsi="Garamond"/>
          <w:b/>
        </w:rPr>
      </w:pPr>
      <w:bookmarkStart w:id="18" w:name="_Toc486782251"/>
      <w:r w:rsidRPr="009401E0">
        <w:rPr>
          <w:rFonts w:ascii="Garamond" w:hAnsi="Garamond"/>
          <w:b/>
        </w:rPr>
        <w:t>1.3.2 Operational framework</w:t>
      </w:r>
      <w:bookmarkEnd w:id="18"/>
      <w:r w:rsidRPr="009401E0">
        <w:rPr>
          <w:rFonts w:ascii="Garamond" w:hAnsi="Garamond"/>
          <w:b/>
        </w:rPr>
        <w:t xml:space="preserve"> </w:t>
      </w:r>
    </w:p>
    <w:p w:rsidR="009401E0" w:rsidRPr="00C54E7D" w:rsidRDefault="009401E0" w:rsidP="00C26A15">
      <w:pPr>
        <w:spacing w:after="0" w:line="240" w:lineRule="auto"/>
      </w:pPr>
    </w:p>
    <w:p w:rsidR="009401E0" w:rsidRDefault="009401E0" w:rsidP="00C26A15">
      <w:pPr>
        <w:autoSpaceDE w:val="0"/>
        <w:autoSpaceDN w:val="0"/>
        <w:adjustRightInd w:val="0"/>
        <w:spacing w:after="0" w:line="240" w:lineRule="auto"/>
        <w:jc w:val="both"/>
        <w:rPr>
          <w:rFonts w:ascii="Garamond" w:hAnsi="Garamond" w:cs="FuturaBT-Book"/>
          <w:sz w:val="24"/>
          <w:szCs w:val="24"/>
        </w:rPr>
      </w:pPr>
      <w:r w:rsidRPr="00392B78">
        <w:rPr>
          <w:rFonts w:ascii="Garamond" w:hAnsi="Garamond" w:cs="FuturaBT-Book"/>
          <w:sz w:val="24"/>
          <w:szCs w:val="24"/>
        </w:rPr>
        <w:t>From an operational point of view, the study is supported by a t</w:t>
      </w:r>
      <w:r>
        <w:rPr>
          <w:rFonts w:ascii="Garamond" w:hAnsi="Garamond" w:cs="FuturaBT-Book"/>
          <w:sz w:val="24"/>
          <w:szCs w:val="24"/>
        </w:rPr>
        <w:t>wo</w:t>
      </w:r>
      <w:r w:rsidRPr="00392B78">
        <w:rPr>
          <w:rFonts w:ascii="Garamond" w:hAnsi="Garamond" w:cs="FuturaBT-Book"/>
          <w:sz w:val="24"/>
          <w:szCs w:val="24"/>
        </w:rPr>
        <w:t xml:space="preserve"> pronged approach consisting of (i) desk </w:t>
      </w:r>
      <w:r>
        <w:rPr>
          <w:rFonts w:ascii="Garamond" w:hAnsi="Garamond" w:cs="FuturaBT-Book"/>
          <w:sz w:val="24"/>
          <w:szCs w:val="24"/>
        </w:rPr>
        <w:t>review</w:t>
      </w:r>
      <w:r w:rsidRPr="00392B78">
        <w:rPr>
          <w:rFonts w:ascii="Garamond" w:hAnsi="Garamond" w:cs="FuturaBT-Book"/>
          <w:sz w:val="24"/>
          <w:szCs w:val="24"/>
        </w:rPr>
        <w:t>, aimed at reviewing relevant literature and consolidating the available</w:t>
      </w:r>
      <w:r>
        <w:rPr>
          <w:rFonts w:ascii="Garamond" w:hAnsi="Garamond" w:cs="FuturaBT-Book"/>
          <w:sz w:val="24"/>
          <w:szCs w:val="24"/>
        </w:rPr>
        <w:t xml:space="preserve"> </w:t>
      </w:r>
      <w:r w:rsidRPr="00392B78">
        <w:rPr>
          <w:rFonts w:ascii="Garamond" w:hAnsi="Garamond" w:cs="FuturaBT-Book"/>
          <w:sz w:val="24"/>
          <w:szCs w:val="24"/>
        </w:rPr>
        <w:t xml:space="preserve">information </w:t>
      </w:r>
      <w:r>
        <w:rPr>
          <w:rFonts w:ascii="Garamond" w:hAnsi="Garamond" w:cs="FuturaBT-Book"/>
          <w:sz w:val="24"/>
          <w:szCs w:val="24"/>
        </w:rPr>
        <w:t xml:space="preserve">from </w:t>
      </w:r>
      <w:r w:rsidRPr="00392B78">
        <w:rPr>
          <w:rFonts w:ascii="Garamond" w:hAnsi="Garamond" w:cs="FuturaBT-Book"/>
          <w:sz w:val="24"/>
          <w:szCs w:val="24"/>
        </w:rPr>
        <w:t xml:space="preserve">secondary sources, (ii) stakeholder </w:t>
      </w:r>
      <w:r>
        <w:rPr>
          <w:rFonts w:ascii="Garamond" w:hAnsi="Garamond" w:cs="FuturaBT-Book"/>
          <w:sz w:val="24"/>
          <w:szCs w:val="24"/>
        </w:rPr>
        <w:t>consultations</w:t>
      </w:r>
      <w:r w:rsidRPr="00392B78">
        <w:rPr>
          <w:rFonts w:ascii="Garamond" w:hAnsi="Garamond" w:cs="FuturaBT-Book"/>
          <w:sz w:val="24"/>
          <w:szCs w:val="24"/>
        </w:rPr>
        <w:t>,</w:t>
      </w:r>
      <w:r>
        <w:rPr>
          <w:rFonts w:ascii="Garamond" w:hAnsi="Garamond" w:cs="FuturaBT-Book"/>
          <w:sz w:val="24"/>
          <w:szCs w:val="24"/>
        </w:rPr>
        <w:t xml:space="preserve"> including government, private sector, development partners (including UN and DAG) and others such as bilateral development partners. Figure </w:t>
      </w:r>
      <w:r w:rsidR="00FF0822">
        <w:rPr>
          <w:rFonts w:ascii="Garamond" w:hAnsi="Garamond" w:cs="FuturaBT-Book"/>
          <w:sz w:val="24"/>
          <w:szCs w:val="24"/>
        </w:rPr>
        <w:t>2</w:t>
      </w:r>
      <w:r>
        <w:rPr>
          <w:rFonts w:ascii="Garamond" w:hAnsi="Garamond" w:cs="FuturaBT-Book"/>
          <w:sz w:val="24"/>
          <w:szCs w:val="24"/>
        </w:rPr>
        <w:t xml:space="preserve"> presents a sequence of the operational framework used in this study. </w:t>
      </w:r>
    </w:p>
    <w:p w:rsidR="009401E0" w:rsidRDefault="009401E0" w:rsidP="00C26A15">
      <w:pPr>
        <w:pStyle w:val="Caption"/>
        <w:spacing w:after="0"/>
        <w:rPr>
          <w:rFonts w:ascii="Garamond" w:hAnsi="Garamond" w:cs="FuturaBT-Book"/>
          <w:sz w:val="22"/>
          <w:szCs w:val="22"/>
        </w:rPr>
      </w:pPr>
      <w:bookmarkStart w:id="19" w:name="_Toc486585937"/>
      <w:r w:rsidRPr="00FF0822">
        <w:rPr>
          <w:rFonts w:ascii="Garamond" w:hAnsi="Garamond" w:cs="FuturaBT-Book"/>
          <w:sz w:val="22"/>
          <w:szCs w:val="22"/>
        </w:rPr>
        <w:t xml:space="preserve">Figure </w:t>
      </w:r>
      <w:r w:rsidR="00BF3BBC" w:rsidRPr="00FF0822">
        <w:rPr>
          <w:rFonts w:ascii="Garamond" w:hAnsi="Garamond"/>
          <w:sz w:val="22"/>
          <w:szCs w:val="22"/>
        </w:rPr>
        <w:fldChar w:fldCharType="begin"/>
      </w:r>
      <w:r w:rsidR="00FF0822" w:rsidRPr="00FF0822">
        <w:rPr>
          <w:rFonts w:ascii="Garamond" w:hAnsi="Garamond"/>
          <w:sz w:val="22"/>
          <w:szCs w:val="22"/>
        </w:rPr>
        <w:instrText xml:space="preserve"> SEQ Figure \* ARABIC </w:instrText>
      </w:r>
      <w:r w:rsidR="00BF3BBC" w:rsidRPr="00FF0822">
        <w:rPr>
          <w:rFonts w:ascii="Garamond" w:hAnsi="Garamond"/>
          <w:sz w:val="22"/>
          <w:szCs w:val="22"/>
        </w:rPr>
        <w:fldChar w:fldCharType="separate"/>
      </w:r>
      <w:r w:rsidR="006C24A4">
        <w:rPr>
          <w:rFonts w:ascii="Garamond" w:hAnsi="Garamond"/>
          <w:noProof/>
          <w:sz w:val="22"/>
          <w:szCs w:val="22"/>
        </w:rPr>
        <w:t>2</w:t>
      </w:r>
      <w:r w:rsidR="00BF3BBC" w:rsidRPr="00FF0822">
        <w:rPr>
          <w:rFonts w:ascii="Garamond" w:hAnsi="Garamond"/>
          <w:sz w:val="22"/>
          <w:szCs w:val="22"/>
        </w:rPr>
        <w:fldChar w:fldCharType="end"/>
      </w:r>
      <w:r w:rsidRPr="00FF0822">
        <w:rPr>
          <w:rFonts w:ascii="Garamond" w:hAnsi="Garamond" w:cs="FuturaBT-Book"/>
          <w:sz w:val="22"/>
          <w:szCs w:val="22"/>
        </w:rPr>
        <w:t>: Operational framework</w:t>
      </w:r>
      <w:bookmarkEnd w:id="19"/>
      <w:r w:rsidRPr="00FF0822">
        <w:rPr>
          <w:rFonts w:ascii="Garamond" w:hAnsi="Garamond" w:cs="FuturaBT-Book"/>
          <w:sz w:val="22"/>
          <w:szCs w:val="22"/>
        </w:rPr>
        <w:t xml:space="preserve"> </w:t>
      </w:r>
    </w:p>
    <w:p w:rsidR="00D52C06" w:rsidRPr="00D52C06" w:rsidRDefault="00D52C06" w:rsidP="00D52C06">
      <w:pPr>
        <w:rPr>
          <w:lang w:val="en-GB" w:eastAsia="en-GB"/>
        </w:rPr>
      </w:pPr>
      <w:r w:rsidRPr="00D52C06">
        <w:rPr>
          <w:noProof/>
        </w:rPr>
        <w:drawing>
          <wp:inline distT="0" distB="0" distL="0" distR="0">
            <wp:extent cx="6443084" cy="33426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447185" cy="3344768"/>
                    </a:xfrm>
                    <a:prstGeom prst="rect">
                      <a:avLst/>
                    </a:prstGeom>
                  </pic:spPr>
                </pic:pic>
              </a:graphicData>
            </a:graphic>
          </wp:inline>
        </w:drawing>
      </w:r>
    </w:p>
    <w:p w:rsidR="009401E0" w:rsidRPr="00842B35" w:rsidRDefault="009401E0" w:rsidP="00C26A15">
      <w:pPr>
        <w:autoSpaceDE w:val="0"/>
        <w:autoSpaceDN w:val="0"/>
        <w:adjustRightInd w:val="0"/>
        <w:spacing w:after="0" w:line="240" w:lineRule="auto"/>
        <w:jc w:val="both"/>
        <w:rPr>
          <w:rFonts w:ascii="Garamond" w:hAnsi="Garamond" w:cs="FuturaBT-Book"/>
        </w:rPr>
      </w:pPr>
      <w:r w:rsidRPr="00842B35">
        <w:rPr>
          <w:rFonts w:ascii="Garamond" w:hAnsi="Garamond" w:cs="FuturaBT-Book"/>
        </w:rPr>
        <w:t xml:space="preserve">Source: Own construction </w:t>
      </w:r>
    </w:p>
    <w:p w:rsidR="009401E0" w:rsidRPr="00392B78" w:rsidRDefault="009401E0" w:rsidP="00C26A15">
      <w:pPr>
        <w:autoSpaceDE w:val="0"/>
        <w:autoSpaceDN w:val="0"/>
        <w:adjustRightInd w:val="0"/>
        <w:spacing w:after="0" w:line="240" w:lineRule="auto"/>
        <w:jc w:val="both"/>
        <w:rPr>
          <w:rFonts w:ascii="Garamond" w:hAnsi="Garamond" w:cs="FuturaBT-Book"/>
          <w:sz w:val="24"/>
          <w:szCs w:val="24"/>
        </w:rPr>
      </w:pPr>
    </w:p>
    <w:p w:rsidR="007F57F8" w:rsidRPr="007F57F8" w:rsidRDefault="006F2EF3" w:rsidP="00C26A15">
      <w:pPr>
        <w:pStyle w:val="Heading1"/>
        <w:spacing w:before="0" w:line="240" w:lineRule="auto"/>
        <w:jc w:val="center"/>
        <w:rPr>
          <w:rFonts w:ascii="Garamond" w:hAnsi="Garamond"/>
          <w:b/>
          <w:sz w:val="24"/>
          <w:szCs w:val="24"/>
          <w:lang w:val="en-PH" w:eastAsia="en-PH"/>
        </w:rPr>
      </w:pPr>
      <w:r>
        <w:br w:type="page"/>
      </w:r>
      <w:bookmarkStart w:id="20" w:name="_Toc486782252"/>
      <w:r w:rsidR="007F57F8" w:rsidRPr="007F57F8">
        <w:rPr>
          <w:rFonts w:ascii="Garamond" w:hAnsi="Garamond"/>
          <w:b/>
          <w:sz w:val="24"/>
          <w:szCs w:val="24"/>
          <w:lang w:val="en-PH" w:eastAsia="en-PH"/>
        </w:rPr>
        <w:lastRenderedPageBreak/>
        <w:t>2. An overview of the Addis Ababa Action Agenda</w:t>
      </w:r>
      <w:bookmarkEnd w:id="20"/>
    </w:p>
    <w:p w:rsidR="00C65DAB" w:rsidRDefault="00C65DAB" w:rsidP="00C26A15">
      <w:pPr>
        <w:pStyle w:val="Heading2"/>
        <w:spacing w:before="0" w:line="240" w:lineRule="auto"/>
        <w:rPr>
          <w:rFonts w:ascii="Garamond" w:hAnsi="Garamond"/>
          <w:b/>
          <w:sz w:val="24"/>
          <w:szCs w:val="24"/>
          <w:lang w:val="en-PH" w:eastAsia="en-PH"/>
        </w:rPr>
      </w:pPr>
    </w:p>
    <w:p w:rsidR="00A30924" w:rsidRPr="00626810" w:rsidRDefault="007F57F8" w:rsidP="00C26A15">
      <w:pPr>
        <w:pStyle w:val="Heading2"/>
        <w:spacing w:before="0" w:line="240" w:lineRule="auto"/>
        <w:rPr>
          <w:rFonts w:ascii="Garamond" w:hAnsi="Garamond"/>
          <w:b/>
          <w:sz w:val="24"/>
          <w:szCs w:val="24"/>
        </w:rPr>
      </w:pPr>
      <w:bookmarkStart w:id="21" w:name="_Toc486782253"/>
      <w:r>
        <w:rPr>
          <w:rFonts w:ascii="Garamond" w:hAnsi="Garamond"/>
          <w:b/>
          <w:sz w:val="24"/>
          <w:szCs w:val="24"/>
          <w:lang w:val="en-PH" w:eastAsia="en-PH"/>
        </w:rPr>
        <w:t xml:space="preserve">2.1 </w:t>
      </w:r>
      <w:r w:rsidR="00A30924" w:rsidRPr="00626810">
        <w:rPr>
          <w:rFonts w:ascii="Garamond" w:hAnsi="Garamond"/>
          <w:b/>
          <w:sz w:val="24"/>
          <w:szCs w:val="24"/>
        </w:rPr>
        <w:t>From Monterrey to Doha</w:t>
      </w:r>
      <w:bookmarkEnd w:id="21"/>
    </w:p>
    <w:p w:rsidR="00A30924" w:rsidRDefault="00A30924" w:rsidP="00C26A15">
      <w:pPr>
        <w:spacing w:after="0" w:line="240" w:lineRule="auto"/>
        <w:jc w:val="both"/>
        <w:rPr>
          <w:rFonts w:ascii="Garamond" w:hAnsi="Garamond" w:cs="Tahoma"/>
          <w:sz w:val="24"/>
          <w:szCs w:val="24"/>
        </w:rPr>
      </w:pPr>
    </w:p>
    <w:p w:rsidR="00A30924" w:rsidRDefault="00A30924" w:rsidP="00C26A15">
      <w:pPr>
        <w:spacing w:after="0" w:line="240" w:lineRule="auto"/>
        <w:jc w:val="both"/>
        <w:rPr>
          <w:rFonts w:ascii="Garamond" w:hAnsi="Garamond" w:cs="Tahoma"/>
          <w:sz w:val="24"/>
          <w:szCs w:val="24"/>
        </w:rPr>
      </w:pPr>
      <w:r>
        <w:rPr>
          <w:rFonts w:ascii="Garamond" w:hAnsi="Garamond" w:cs="Tahoma"/>
          <w:sz w:val="24"/>
          <w:szCs w:val="24"/>
        </w:rPr>
        <w:t>Th</w:t>
      </w:r>
      <w:r w:rsidRPr="00111BC9">
        <w:rPr>
          <w:rFonts w:ascii="Garamond" w:hAnsi="Garamond" w:cs="Tahoma"/>
          <w:sz w:val="24"/>
          <w:szCs w:val="24"/>
        </w:rPr>
        <w:t xml:space="preserve">e </w:t>
      </w:r>
      <w:r>
        <w:rPr>
          <w:rFonts w:ascii="Garamond" w:hAnsi="Garamond" w:cs="Tahoma"/>
          <w:sz w:val="24"/>
          <w:szCs w:val="24"/>
        </w:rPr>
        <w:t>first i</w:t>
      </w:r>
      <w:r w:rsidRPr="00111BC9">
        <w:rPr>
          <w:rFonts w:ascii="Garamond" w:hAnsi="Garamond" w:cs="Tahoma"/>
          <w:sz w:val="24"/>
          <w:szCs w:val="24"/>
        </w:rPr>
        <w:t>nterna</w:t>
      </w:r>
      <w:r>
        <w:rPr>
          <w:rFonts w:ascii="Garamond" w:hAnsi="Garamond" w:cs="Tahoma"/>
          <w:sz w:val="24"/>
          <w:szCs w:val="24"/>
        </w:rPr>
        <w:t>t</w:t>
      </w:r>
      <w:r w:rsidRPr="00111BC9">
        <w:rPr>
          <w:rFonts w:ascii="Garamond" w:hAnsi="Garamond" w:cs="Tahoma"/>
          <w:sz w:val="24"/>
          <w:szCs w:val="24"/>
        </w:rPr>
        <w:t xml:space="preserve">ional </w:t>
      </w:r>
      <w:r>
        <w:rPr>
          <w:rFonts w:ascii="Garamond" w:hAnsi="Garamond" w:cs="Tahoma"/>
          <w:sz w:val="24"/>
          <w:szCs w:val="24"/>
        </w:rPr>
        <w:t>c</w:t>
      </w:r>
      <w:r w:rsidRPr="00111BC9">
        <w:rPr>
          <w:rFonts w:ascii="Garamond" w:hAnsi="Garamond" w:cs="Tahoma"/>
          <w:sz w:val="24"/>
          <w:szCs w:val="24"/>
        </w:rPr>
        <w:t>onference on Financing for Development</w:t>
      </w:r>
      <w:r>
        <w:rPr>
          <w:rFonts w:ascii="Garamond" w:hAnsi="Garamond" w:cs="Tahoma"/>
          <w:sz w:val="24"/>
          <w:szCs w:val="24"/>
        </w:rPr>
        <w:t xml:space="preserve">, which was held </w:t>
      </w:r>
      <w:r w:rsidRPr="00111BC9">
        <w:rPr>
          <w:rFonts w:ascii="Garamond" w:hAnsi="Garamond" w:cs="Tahoma"/>
          <w:sz w:val="24"/>
          <w:szCs w:val="24"/>
        </w:rPr>
        <w:t xml:space="preserve">in Monterrey, Mexico, </w:t>
      </w:r>
      <w:r>
        <w:rPr>
          <w:rFonts w:ascii="Garamond" w:hAnsi="Garamond" w:cs="Tahoma"/>
          <w:sz w:val="24"/>
          <w:szCs w:val="24"/>
        </w:rPr>
        <w:t xml:space="preserve">in March 2002, marked a global consensus on forging </w:t>
      </w:r>
      <w:r w:rsidRPr="00111BC9">
        <w:rPr>
          <w:rFonts w:ascii="Garamond" w:hAnsi="Garamond" w:cs="Tahoma"/>
          <w:sz w:val="24"/>
          <w:szCs w:val="24"/>
        </w:rPr>
        <w:t xml:space="preserve">partnership for </w:t>
      </w:r>
      <w:r>
        <w:rPr>
          <w:rFonts w:ascii="Garamond" w:hAnsi="Garamond" w:cs="Tahoma"/>
          <w:sz w:val="24"/>
          <w:szCs w:val="24"/>
        </w:rPr>
        <w:t xml:space="preserve">financing </w:t>
      </w:r>
      <w:r w:rsidRPr="00111BC9">
        <w:rPr>
          <w:rFonts w:ascii="Garamond" w:hAnsi="Garamond" w:cs="Tahoma"/>
          <w:sz w:val="24"/>
          <w:szCs w:val="24"/>
        </w:rPr>
        <w:t xml:space="preserve">sustainable development. The Monterrey Consensus </w:t>
      </w:r>
      <w:r>
        <w:rPr>
          <w:rFonts w:ascii="Garamond" w:hAnsi="Garamond" w:cs="Tahoma"/>
          <w:sz w:val="24"/>
          <w:szCs w:val="24"/>
        </w:rPr>
        <w:t xml:space="preserve">addressed, at least in principle, </w:t>
      </w:r>
      <w:r w:rsidRPr="00111BC9">
        <w:rPr>
          <w:rFonts w:ascii="Garamond" w:hAnsi="Garamond" w:cs="Tahoma"/>
          <w:sz w:val="24"/>
          <w:szCs w:val="24"/>
        </w:rPr>
        <w:t xml:space="preserve">the challenges of </w:t>
      </w:r>
      <w:r>
        <w:rPr>
          <w:rFonts w:ascii="Garamond" w:hAnsi="Garamond" w:cs="Tahoma"/>
          <w:sz w:val="24"/>
          <w:szCs w:val="24"/>
        </w:rPr>
        <w:t>f</w:t>
      </w:r>
      <w:r w:rsidRPr="00111BC9">
        <w:rPr>
          <w:rFonts w:ascii="Garamond" w:hAnsi="Garamond" w:cs="Tahoma"/>
          <w:sz w:val="24"/>
          <w:szCs w:val="24"/>
        </w:rPr>
        <w:t xml:space="preserve">inancing for development </w:t>
      </w:r>
      <w:r>
        <w:rPr>
          <w:rFonts w:ascii="Garamond" w:hAnsi="Garamond" w:cs="Tahoma"/>
          <w:sz w:val="24"/>
          <w:szCs w:val="24"/>
        </w:rPr>
        <w:t>aimed at e</w:t>
      </w:r>
      <w:r w:rsidRPr="00111BC9">
        <w:rPr>
          <w:rFonts w:ascii="Garamond" w:hAnsi="Garamond" w:cs="Tahoma"/>
          <w:sz w:val="24"/>
          <w:szCs w:val="24"/>
        </w:rPr>
        <w:t>radicat</w:t>
      </w:r>
      <w:r>
        <w:rPr>
          <w:rFonts w:ascii="Garamond" w:hAnsi="Garamond" w:cs="Tahoma"/>
          <w:sz w:val="24"/>
          <w:szCs w:val="24"/>
        </w:rPr>
        <w:t>ing</w:t>
      </w:r>
      <w:r w:rsidRPr="00111BC9">
        <w:rPr>
          <w:rFonts w:ascii="Garamond" w:hAnsi="Garamond" w:cs="Tahoma"/>
          <w:sz w:val="24"/>
          <w:szCs w:val="24"/>
        </w:rPr>
        <w:t xml:space="preserve"> poverty, achieve sustained economic growth and promote sustainable development</w:t>
      </w:r>
      <w:r>
        <w:rPr>
          <w:rFonts w:ascii="Garamond" w:hAnsi="Garamond" w:cs="Tahoma"/>
          <w:sz w:val="24"/>
          <w:szCs w:val="24"/>
        </w:rPr>
        <w:t xml:space="preserve"> (UN, 2002, 2009)</w:t>
      </w:r>
      <w:r w:rsidRPr="00111BC9">
        <w:rPr>
          <w:rFonts w:ascii="Garamond" w:hAnsi="Garamond" w:cs="Tahoma"/>
          <w:sz w:val="24"/>
          <w:szCs w:val="24"/>
        </w:rPr>
        <w:t xml:space="preserve">. </w:t>
      </w:r>
      <w:r>
        <w:rPr>
          <w:rFonts w:ascii="Garamond" w:hAnsi="Garamond" w:cs="Tahoma"/>
          <w:sz w:val="24"/>
          <w:szCs w:val="24"/>
        </w:rPr>
        <w:t>The Monterrey Consensus recog</w:t>
      </w:r>
      <w:r w:rsidRPr="00541066">
        <w:rPr>
          <w:rFonts w:ascii="Garamond" w:hAnsi="Garamond" w:cs="Tahoma"/>
          <w:sz w:val="24"/>
          <w:szCs w:val="24"/>
        </w:rPr>
        <w:t xml:space="preserve">nized </w:t>
      </w:r>
      <w:r>
        <w:rPr>
          <w:rFonts w:ascii="Garamond" w:hAnsi="Garamond" w:cs="Tahoma"/>
          <w:sz w:val="24"/>
          <w:szCs w:val="24"/>
        </w:rPr>
        <w:t xml:space="preserve">the crucial role of </w:t>
      </w:r>
      <w:r w:rsidRPr="00541066">
        <w:rPr>
          <w:rFonts w:ascii="Garamond" w:hAnsi="Garamond" w:cs="Tahoma"/>
          <w:sz w:val="24"/>
          <w:szCs w:val="24"/>
        </w:rPr>
        <w:t xml:space="preserve">all sources of </w:t>
      </w:r>
      <w:r>
        <w:rPr>
          <w:rFonts w:ascii="Garamond" w:hAnsi="Garamond" w:cs="Tahoma"/>
          <w:sz w:val="24"/>
          <w:szCs w:val="24"/>
        </w:rPr>
        <w:t>financing for development including p</w:t>
      </w:r>
      <w:r w:rsidRPr="00541066">
        <w:rPr>
          <w:rFonts w:ascii="Garamond" w:hAnsi="Garamond" w:cs="Tahoma"/>
          <w:sz w:val="24"/>
          <w:szCs w:val="24"/>
        </w:rPr>
        <w:t xml:space="preserve">ublic and private, domestic and international, </w:t>
      </w:r>
      <w:r>
        <w:rPr>
          <w:rFonts w:ascii="Garamond" w:hAnsi="Garamond" w:cs="Tahoma"/>
          <w:sz w:val="24"/>
          <w:szCs w:val="24"/>
        </w:rPr>
        <w:t xml:space="preserve">and </w:t>
      </w:r>
      <w:r w:rsidRPr="00541066">
        <w:rPr>
          <w:rFonts w:ascii="Garamond" w:hAnsi="Garamond" w:cs="Tahoma"/>
          <w:sz w:val="24"/>
          <w:szCs w:val="24"/>
        </w:rPr>
        <w:t>th</w:t>
      </w:r>
      <w:r>
        <w:rPr>
          <w:rFonts w:ascii="Garamond" w:hAnsi="Garamond" w:cs="Tahoma"/>
          <w:sz w:val="24"/>
          <w:szCs w:val="24"/>
        </w:rPr>
        <w:t xml:space="preserve">is requires </w:t>
      </w:r>
      <w:r w:rsidRPr="00541066">
        <w:rPr>
          <w:rFonts w:ascii="Garamond" w:hAnsi="Garamond" w:cs="Tahoma"/>
          <w:sz w:val="24"/>
          <w:szCs w:val="24"/>
        </w:rPr>
        <w:t xml:space="preserve">public policies and </w:t>
      </w:r>
      <w:r>
        <w:rPr>
          <w:rFonts w:ascii="Garamond" w:hAnsi="Garamond" w:cs="Tahoma"/>
          <w:sz w:val="24"/>
          <w:szCs w:val="24"/>
        </w:rPr>
        <w:t xml:space="preserve">enhanced </w:t>
      </w:r>
      <w:r w:rsidRPr="00541066">
        <w:rPr>
          <w:rFonts w:ascii="Garamond" w:hAnsi="Garamond" w:cs="Tahoma"/>
          <w:sz w:val="24"/>
          <w:szCs w:val="24"/>
        </w:rPr>
        <w:t>national and international enabling environment</w:t>
      </w:r>
      <w:r>
        <w:rPr>
          <w:rFonts w:ascii="Garamond" w:hAnsi="Garamond" w:cs="Tahoma"/>
          <w:sz w:val="24"/>
          <w:szCs w:val="24"/>
        </w:rPr>
        <w:t xml:space="preserve"> for resource mobilization (UN, 2016; Khan, 2016). Subsequently, the second i</w:t>
      </w:r>
      <w:r w:rsidRPr="00111BC9">
        <w:rPr>
          <w:rFonts w:ascii="Garamond" w:hAnsi="Garamond" w:cs="Tahoma"/>
          <w:sz w:val="24"/>
          <w:szCs w:val="24"/>
        </w:rPr>
        <w:t xml:space="preserve">nternational </w:t>
      </w:r>
      <w:r>
        <w:rPr>
          <w:rFonts w:ascii="Garamond" w:hAnsi="Garamond" w:cs="Tahoma"/>
          <w:sz w:val="24"/>
          <w:szCs w:val="24"/>
        </w:rPr>
        <w:t>c</w:t>
      </w:r>
      <w:r w:rsidRPr="00111BC9">
        <w:rPr>
          <w:rFonts w:ascii="Garamond" w:hAnsi="Garamond" w:cs="Tahoma"/>
          <w:sz w:val="24"/>
          <w:szCs w:val="24"/>
        </w:rPr>
        <w:t>onference on Financing for Development was held in Doha, Qatar</w:t>
      </w:r>
      <w:r>
        <w:rPr>
          <w:rFonts w:ascii="Garamond" w:hAnsi="Garamond" w:cs="Tahoma"/>
          <w:sz w:val="24"/>
          <w:szCs w:val="24"/>
        </w:rPr>
        <w:t>,</w:t>
      </w:r>
      <w:r w:rsidRPr="00111BC9">
        <w:rPr>
          <w:rFonts w:ascii="Garamond" w:hAnsi="Garamond" w:cs="Tahoma"/>
          <w:sz w:val="24"/>
          <w:szCs w:val="24"/>
        </w:rPr>
        <w:t xml:space="preserve"> </w:t>
      </w:r>
      <w:r>
        <w:rPr>
          <w:rFonts w:ascii="Garamond" w:hAnsi="Garamond" w:cs="Tahoma"/>
          <w:sz w:val="24"/>
          <w:szCs w:val="24"/>
        </w:rPr>
        <w:t xml:space="preserve">in December </w:t>
      </w:r>
      <w:r w:rsidRPr="00111BC9">
        <w:rPr>
          <w:rFonts w:ascii="Garamond" w:hAnsi="Garamond" w:cs="Tahoma"/>
          <w:sz w:val="24"/>
          <w:szCs w:val="24"/>
        </w:rPr>
        <w:t xml:space="preserve">2008. </w:t>
      </w:r>
      <w:r w:rsidRPr="006E2D46">
        <w:rPr>
          <w:rFonts w:ascii="Garamond" w:hAnsi="Garamond" w:cs="Tahoma"/>
          <w:sz w:val="24"/>
          <w:szCs w:val="24"/>
        </w:rPr>
        <w:t xml:space="preserve">The </w:t>
      </w:r>
      <w:r>
        <w:rPr>
          <w:rFonts w:ascii="Garamond" w:hAnsi="Garamond" w:cs="Tahoma"/>
          <w:sz w:val="24"/>
          <w:szCs w:val="24"/>
        </w:rPr>
        <w:t xml:space="preserve">Doha Declaration was intended to achieve </w:t>
      </w:r>
      <w:r w:rsidRPr="006E2D46">
        <w:rPr>
          <w:rFonts w:ascii="Garamond" w:hAnsi="Garamond" w:cs="Tahoma"/>
          <w:sz w:val="24"/>
          <w:szCs w:val="24"/>
        </w:rPr>
        <w:t>the objec</w:t>
      </w:r>
      <w:r>
        <w:rPr>
          <w:rFonts w:ascii="Garamond" w:hAnsi="Garamond" w:cs="Tahoma"/>
          <w:sz w:val="24"/>
          <w:szCs w:val="24"/>
        </w:rPr>
        <w:t>t</w:t>
      </w:r>
      <w:r w:rsidRPr="006E2D46">
        <w:rPr>
          <w:rFonts w:ascii="Garamond" w:hAnsi="Garamond" w:cs="Tahoma"/>
          <w:sz w:val="24"/>
          <w:szCs w:val="24"/>
        </w:rPr>
        <w:t xml:space="preserve">ives of the Monterrey Consensus </w:t>
      </w:r>
      <w:r>
        <w:rPr>
          <w:rFonts w:ascii="Garamond" w:hAnsi="Garamond" w:cs="Tahoma"/>
          <w:sz w:val="24"/>
          <w:szCs w:val="24"/>
        </w:rPr>
        <w:t xml:space="preserve">through </w:t>
      </w:r>
      <w:r w:rsidRPr="006E2D46">
        <w:rPr>
          <w:rFonts w:ascii="Garamond" w:hAnsi="Garamond" w:cs="Tahoma"/>
          <w:sz w:val="24"/>
          <w:szCs w:val="24"/>
        </w:rPr>
        <w:t>more concrete commitments.</w:t>
      </w:r>
    </w:p>
    <w:p w:rsidR="00A30924" w:rsidRDefault="00A30924" w:rsidP="00C26A15">
      <w:pPr>
        <w:spacing w:after="0" w:line="240" w:lineRule="auto"/>
        <w:jc w:val="both"/>
        <w:rPr>
          <w:rFonts w:ascii="Garamond" w:hAnsi="Garamond" w:cs="Tahoma"/>
          <w:sz w:val="24"/>
          <w:szCs w:val="24"/>
        </w:rPr>
      </w:pPr>
    </w:p>
    <w:p w:rsidR="00A30924" w:rsidRDefault="00727204" w:rsidP="00C26A15">
      <w:pPr>
        <w:spacing w:after="0" w:line="240" w:lineRule="auto"/>
        <w:jc w:val="both"/>
        <w:rPr>
          <w:rFonts w:ascii="Garamond" w:hAnsi="Garamond" w:cs="Tahoma"/>
          <w:sz w:val="24"/>
          <w:szCs w:val="24"/>
        </w:rPr>
      </w:pPr>
      <w:r>
        <w:rPr>
          <w:rFonts w:ascii="Garamond" w:hAnsi="Garamond" w:cs="Tahoma"/>
          <w:sz w:val="24"/>
          <w:szCs w:val="24"/>
        </w:rPr>
        <w:t>A</w:t>
      </w:r>
      <w:r w:rsidR="00A30924" w:rsidRPr="0084028A">
        <w:rPr>
          <w:rFonts w:ascii="Garamond" w:hAnsi="Garamond" w:cs="Tahoma"/>
          <w:sz w:val="24"/>
          <w:szCs w:val="24"/>
        </w:rPr>
        <w:t xml:space="preserve"> holistic approach is rooted in the FfD process, embodied in the 2002 Monterrey Consensus and the 2008 Doha Declaration on Financing for Development</w:t>
      </w:r>
      <w:r w:rsidR="00A30924">
        <w:rPr>
          <w:rFonts w:ascii="Garamond" w:hAnsi="Garamond" w:cs="Tahoma"/>
          <w:sz w:val="24"/>
          <w:szCs w:val="24"/>
        </w:rPr>
        <w:t>. Domestic poli</w:t>
      </w:r>
      <w:r w:rsidR="00A30924" w:rsidRPr="005A0801">
        <w:rPr>
          <w:rFonts w:ascii="Garamond" w:hAnsi="Garamond" w:cs="Tahoma"/>
          <w:sz w:val="24"/>
          <w:szCs w:val="24"/>
        </w:rPr>
        <w:t xml:space="preserve">cies </w:t>
      </w:r>
      <w:r w:rsidR="00A30924">
        <w:rPr>
          <w:rFonts w:ascii="Garamond" w:hAnsi="Garamond" w:cs="Tahoma"/>
          <w:sz w:val="24"/>
          <w:szCs w:val="24"/>
        </w:rPr>
        <w:t>need to</w:t>
      </w:r>
      <w:r w:rsidR="00A30924" w:rsidRPr="005A0801">
        <w:rPr>
          <w:rFonts w:ascii="Garamond" w:hAnsi="Garamond" w:cs="Tahoma"/>
          <w:sz w:val="24"/>
          <w:szCs w:val="24"/>
        </w:rPr>
        <w:t xml:space="preserve"> be supported by an enabling international environment. </w:t>
      </w:r>
      <w:r w:rsidR="00A30924" w:rsidRPr="00541066">
        <w:rPr>
          <w:rFonts w:ascii="Garamond" w:hAnsi="Garamond" w:cs="Tahoma"/>
          <w:sz w:val="24"/>
          <w:szCs w:val="24"/>
        </w:rPr>
        <w:t>Bo</w:t>
      </w:r>
      <w:r w:rsidR="00A30924">
        <w:rPr>
          <w:rFonts w:ascii="Garamond" w:hAnsi="Garamond" w:cs="Tahoma"/>
          <w:sz w:val="24"/>
          <w:szCs w:val="24"/>
        </w:rPr>
        <w:t>th national policies and regula</w:t>
      </w:r>
      <w:r w:rsidR="00A30924" w:rsidRPr="00541066">
        <w:rPr>
          <w:rFonts w:ascii="Garamond" w:hAnsi="Garamond" w:cs="Tahoma"/>
          <w:sz w:val="24"/>
          <w:szCs w:val="24"/>
        </w:rPr>
        <w:t xml:space="preserve">tions and international rules and agreements are thus linked to development </w:t>
      </w:r>
      <w:r w:rsidR="00A30924">
        <w:rPr>
          <w:rFonts w:ascii="Garamond" w:hAnsi="Garamond" w:cs="Tahoma"/>
          <w:sz w:val="24"/>
          <w:szCs w:val="24"/>
        </w:rPr>
        <w:t>f</w:t>
      </w:r>
      <w:r w:rsidR="00A30924" w:rsidRPr="00541066">
        <w:rPr>
          <w:rFonts w:ascii="Garamond" w:hAnsi="Garamond" w:cs="Tahoma"/>
          <w:sz w:val="24"/>
          <w:szCs w:val="24"/>
        </w:rPr>
        <w:t>inance and outcomes.</w:t>
      </w:r>
      <w:r w:rsidR="00A30924">
        <w:rPr>
          <w:rFonts w:ascii="Garamond" w:hAnsi="Garamond" w:cs="Tahoma"/>
          <w:sz w:val="24"/>
          <w:szCs w:val="24"/>
        </w:rPr>
        <w:t xml:space="preserve"> T</w:t>
      </w:r>
      <w:r w:rsidR="00A30924" w:rsidRPr="00541066">
        <w:rPr>
          <w:rFonts w:ascii="Garamond" w:hAnsi="Garamond" w:cs="Tahoma"/>
          <w:sz w:val="24"/>
          <w:szCs w:val="24"/>
        </w:rPr>
        <w:t>he global partnership</w:t>
      </w:r>
      <w:r w:rsidR="00A30924">
        <w:rPr>
          <w:rFonts w:ascii="Garamond" w:hAnsi="Garamond" w:cs="Tahoma"/>
          <w:sz w:val="24"/>
          <w:szCs w:val="24"/>
        </w:rPr>
        <w:t>s</w:t>
      </w:r>
      <w:r w:rsidR="00A30924" w:rsidRPr="00541066">
        <w:rPr>
          <w:rFonts w:ascii="Garamond" w:hAnsi="Garamond" w:cs="Tahoma"/>
          <w:sz w:val="24"/>
          <w:szCs w:val="24"/>
        </w:rPr>
        <w:t xml:space="preserve"> for development</w:t>
      </w:r>
      <w:r w:rsidR="00A30924">
        <w:rPr>
          <w:rFonts w:ascii="Garamond" w:hAnsi="Garamond" w:cs="Tahoma"/>
          <w:sz w:val="24"/>
          <w:szCs w:val="24"/>
        </w:rPr>
        <w:t xml:space="preserve"> </w:t>
      </w:r>
      <w:r w:rsidR="00A30924" w:rsidRPr="00541066">
        <w:rPr>
          <w:rFonts w:ascii="Garamond" w:hAnsi="Garamond" w:cs="Tahoma"/>
          <w:sz w:val="24"/>
          <w:szCs w:val="24"/>
        </w:rPr>
        <w:t>emphasizes the central</w:t>
      </w:r>
      <w:r w:rsidR="00A30924">
        <w:rPr>
          <w:rFonts w:ascii="Garamond" w:hAnsi="Garamond" w:cs="Tahoma"/>
          <w:sz w:val="24"/>
          <w:szCs w:val="24"/>
        </w:rPr>
        <w:t xml:space="preserve"> </w:t>
      </w:r>
      <w:r w:rsidR="00A30924" w:rsidRPr="00541066">
        <w:rPr>
          <w:rFonts w:ascii="Garamond" w:hAnsi="Garamond" w:cs="Tahoma"/>
          <w:sz w:val="24"/>
          <w:szCs w:val="24"/>
        </w:rPr>
        <w:t>importance of dev</w:t>
      </w:r>
      <w:r w:rsidR="00A30924">
        <w:rPr>
          <w:rFonts w:ascii="Garamond" w:hAnsi="Garamond" w:cs="Tahoma"/>
          <w:sz w:val="24"/>
          <w:szCs w:val="24"/>
        </w:rPr>
        <w:t>elopment cooperation and conces</w:t>
      </w:r>
      <w:r w:rsidR="00A30924" w:rsidRPr="00541066">
        <w:rPr>
          <w:rFonts w:ascii="Garamond" w:hAnsi="Garamond" w:cs="Tahoma"/>
          <w:sz w:val="24"/>
          <w:szCs w:val="24"/>
        </w:rPr>
        <w:t xml:space="preserve">sional </w:t>
      </w:r>
      <w:r w:rsidR="00A30924">
        <w:rPr>
          <w:rFonts w:ascii="Garamond" w:hAnsi="Garamond" w:cs="Tahoma"/>
          <w:sz w:val="24"/>
          <w:szCs w:val="24"/>
        </w:rPr>
        <w:t>f</w:t>
      </w:r>
      <w:r w:rsidR="00A30924" w:rsidRPr="00541066">
        <w:rPr>
          <w:rFonts w:ascii="Garamond" w:hAnsi="Garamond" w:cs="Tahoma"/>
          <w:sz w:val="24"/>
          <w:szCs w:val="24"/>
        </w:rPr>
        <w:t>inancing. Indeed, development cooperation, and the fora</w:t>
      </w:r>
      <w:r w:rsidR="00A30924">
        <w:rPr>
          <w:rFonts w:ascii="Garamond" w:hAnsi="Garamond" w:cs="Tahoma"/>
          <w:sz w:val="24"/>
          <w:szCs w:val="24"/>
        </w:rPr>
        <w:t>, remain a cru</w:t>
      </w:r>
      <w:r w:rsidR="00A30924" w:rsidRPr="00541066">
        <w:rPr>
          <w:rFonts w:ascii="Garamond" w:hAnsi="Garamond" w:cs="Tahoma"/>
          <w:sz w:val="24"/>
          <w:szCs w:val="24"/>
        </w:rPr>
        <w:t>cial part of the agenda.</w:t>
      </w:r>
      <w:r w:rsidR="00A30924">
        <w:rPr>
          <w:rFonts w:ascii="Garamond" w:hAnsi="Garamond" w:cs="Tahoma"/>
          <w:sz w:val="24"/>
          <w:szCs w:val="24"/>
        </w:rPr>
        <w:t xml:space="preserve"> Although s</w:t>
      </w:r>
      <w:r w:rsidR="00A30924" w:rsidRPr="005A0801">
        <w:rPr>
          <w:rFonts w:ascii="Garamond" w:hAnsi="Garamond" w:cs="Tahoma"/>
          <w:sz w:val="24"/>
          <w:szCs w:val="24"/>
        </w:rPr>
        <w:t xml:space="preserve">cience, technology, innovation and capacity building had been </w:t>
      </w:r>
      <w:r w:rsidR="00A30924">
        <w:rPr>
          <w:rFonts w:ascii="Garamond" w:hAnsi="Garamond" w:cs="Tahoma"/>
          <w:sz w:val="24"/>
          <w:szCs w:val="24"/>
        </w:rPr>
        <w:t xml:space="preserve">part of </w:t>
      </w:r>
      <w:r w:rsidR="00A30924" w:rsidRPr="005A0801">
        <w:rPr>
          <w:rFonts w:ascii="Garamond" w:hAnsi="Garamond" w:cs="Tahoma"/>
          <w:sz w:val="24"/>
          <w:szCs w:val="24"/>
        </w:rPr>
        <w:t xml:space="preserve">the Monterrey Consensus and Doha Declaration on FfD, they </w:t>
      </w:r>
      <w:r w:rsidR="00A30924">
        <w:rPr>
          <w:rFonts w:ascii="Garamond" w:hAnsi="Garamond" w:cs="Tahoma"/>
          <w:sz w:val="24"/>
          <w:szCs w:val="24"/>
        </w:rPr>
        <w:t xml:space="preserve">lacked </w:t>
      </w:r>
      <w:r w:rsidR="00A30924" w:rsidRPr="005A0801">
        <w:rPr>
          <w:rFonts w:ascii="Garamond" w:hAnsi="Garamond" w:cs="Tahoma"/>
          <w:sz w:val="24"/>
          <w:szCs w:val="24"/>
        </w:rPr>
        <w:t>detail</w:t>
      </w:r>
      <w:r>
        <w:rPr>
          <w:rFonts w:ascii="Garamond" w:hAnsi="Garamond" w:cs="Tahoma"/>
          <w:sz w:val="24"/>
          <w:szCs w:val="24"/>
        </w:rPr>
        <w:t xml:space="preserve">s regarding </w:t>
      </w:r>
      <w:r w:rsidR="000868F5">
        <w:rPr>
          <w:rFonts w:ascii="Garamond" w:hAnsi="Garamond" w:cs="Tahoma"/>
          <w:sz w:val="24"/>
          <w:szCs w:val="24"/>
        </w:rPr>
        <w:t>financing sustainable development</w:t>
      </w:r>
      <w:r w:rsidR="00B20A94">
        <w:rPr>
          <w:rFonts w:ascii="Garamond" w:hAnsi="Garamond" w:cs="Tahoma"/>
          <w:sz w:val="24"/>
          <w:szCs w:val="24"/>
        </w:rPr>
        <w:t xml:space="preserve"> including emerging issues</w:t>
      </w:r>
      <w:r w:rsidR="00A30924" w:rsidRPr="005A0801">
        <w:rPr>
          <w:rFonts w:ascii="Garamond" w:hAnsi="Garamond" w:cs="Tahoma"/>
          <w:sz w:val="24"/>
          <w:szCs w:val="24"/>
        </w:rPr>
        <w:t>.</w:t>
      </w:r>
    </w:p>
    <w:p w:rsidR="00C26A15" w:rsidRDefault="00C26A15" w:rsidP="00C26A15">
      <w:pPr>
        <w:spacing w:after="0" w:line="240" w:lineRule="auto"/>
        <w:jc w:val="both"/>
        <w:rPr>
          <w:rFonts w:ascii="Garamond" w:hAnsi="Garamond" w:cs="Tahoma"/>
          <w:sz w:val="24"/>
          <w:szCs w:val="24"/>
        </w:rPr>
      </w:pPr>
    </w:p>
    <w:p w:rsidR="00A30924" w:rsidRPr="00626810" w:rsidRDefault="007F57F8" w:rsidP="00C26A15">
      <w:pPr>
        <w:pStyle w:val="Heading2"/>
        <w:spacing w:before="0" w:line="240" w:lineRule="auto"/>
        <w:rPr>
          <w:rFonts w:ascii="Garamond" w:hAnsi="Garamond"/>
          <w:b/>
          <w:sz w:val="24"/>
          <w:szCs w:val="24"/>
          <w:lang w:val="en-PH" w:eastAsia="en-PH"/>
        </w:rPr>
      </w:pPr>
      <w:bookmarkStart w:id="22" w:name="_Toc486782254"/>
      <w:r>
        <w:rPr>
          <w:rFonts w:ascii="Garamond" w:hAnsi="Garamond"/>
          <w:b/>
          <w:sz w:val="24"/>
          <w:szCs w:val="24"/>
          <w:lang w:val="en-PH" w:eastAsia="en-PH"/>
        </w:rPr>
        <w:t>2.2</w:t>
      </w:r>
      <w:r w:rsidR="00A30924" w:rsidRPr="00626810">
        <w:rPr>
          <w:rFonts w:ascii="Garamond" w:hAnsi="Garamond"/>
          <w:b/>
          <w:sz w:val="24"/>
          <w:szCs w:val="24"/>
          <w:lang w:val="en-PH" w:eastAsia="en-PH"/>
        </w:rPr>
        <w:t xml:space="preserve"> From </w:t>
      </w:r>
      <w:r w:rsidR="00A30924" w:rsidRPr="00626810">
        <w:rPr>
          <w:rFonts w:ascii="Garamond" w:hAnsi="Garamond" w:cs="Tahoma"/>
          <w:b/>
          <w:sz w:val="24"/>
          <w:szCs w:val="24"/>
        </w:rPr>
        <w:t>Monterrey</w:t>
      </w:r>
      <w:r w:rsidR="00A30924" w:rsidRPr="00626810">
        <w:rPr>
          <w:rFonts w:ascii="Garamond" w:hAnsi="Garamond"/>
          <w:b/>
          <w:sz w:val="24"/>
          <w:szCs w:val="24"/>
          <w:lang w:val="en-PH" w:eastAsia="en-PH"/>
        </w:rPr>
        <w:t xml:space="preserve"> to Addis Ababa: The Addis Ababa Action Agenda (AAAA)</w:t>
      </w:r>
      <w:bookmarkEnd w:id="22"/>
    </w:p>
    <w:p w:rsidR="00A30924" w:rsidRPr="00663F07" w:rsidRDefault="00A30924" w:rsidP="00C26A15">
      <w:pPr>
        <w:spacing w:after="0" w:line="240" w:lineRule="auto"/>
        <w:rPr>
          <w:rFonts w:ascii="Garamond" w:eastAsia="Calibri" w:hAnsi="Garamond"/>
          <w:b/>
          <w:spacing w:val="4"/>
          <w:w w:val="103"/>
          <w:kern w:val="14"/>
          <w:sz w:val="24"/>
          <w:szCs w:val="24"/>
          <w:lang w:val="en-PH" w:eastAsia="en-PH"/>
        </w:rPr>
      </w:pPr>
    </w:p>
    <w:p w:rsidR="00A30924" w:rsidRDefault="00A30924" w:rsidP="00C26A15">
      <w:pPr>
        <w:spacing w:after="0" w:line="240" w:lineRule="auto"/>
        <w:jc w:val="both"/>
        <w:rPr>
          <w:rFonts w:ascii="Garamond" w:hAnsi="Garamond" w:cs="Tahoma"/>
          <w:sz w:val="24"/>
          <w:szCs w:val="24"/>
        </w:rPr>
      </w:pPr>
      <w:r w:rsidRPr="001B40C3">
        <w:rPr>
          <w:rFonts w:ascii="Garamond" w:hAnsi="Garamond" w:cs="Tahoma"/>
          <w:sz w:val="24"/>
          <w:szCs w:val="24"/>
        </w:rPr>
        <w:t xml:space="preserve">The Heads of States, High Representatives and other global development community gathered in Addis Ababa for the Third International Conference on Financing </w:t>
      </w:r>
      <w:r>
        <w:rPr>
          <w:rFonts w:ascii="Garamond" w:hAnsi="Garamond" w:cs="Tahoma"/>
          <w:sz w:val="24"/>
          <w:szCs w:val="24"/>
        </w:rPr>
        <w:t xml:space="preserve">for Development (FfD) </w:t>
      </w:r>
      <w:r w:rsidRPr="001B40C3">
        <w:rPr>
          <w:rFonts w:ascii="Garamond" w:hAnsi="Garamond" w:cs="Tahoma"/>
          <w:sz w:val="24"/>
          <w:szCs w:val="24"/>
        </w:rPr>
        <w:t>in</w:t>
      </w:r>
      <w:r w:rsidRPr="001B40C3">
        <w:rPr>
          <w:rFonts w:ascii="Garamond" w:hAnsi="Garamond" w:cs="ACaslonPro-Regular"/>
          <w:sz w:val="24"/>
          <w:szCs w:val="24"/>
        </w:rPr>
        <w:t xml:space="preserve"> July 2015</w:t>
      </w:r>
      <w:r w:rsidRPr="00F96CB0">
        <w:rPr>
          <w:rFonts w:ascii="Garamond" w:hAnsi="Garamond" w:cs="ACaslonPro-Regular"/>
          <w:sz w:val="24"/>
          <w:szCs w:val="24"/>
        </w:rPr>
        <w:t xml:space="preserve"> </w:t>
      </w:r>
      <w:r w:rsidRPr="001B40C3">
        <w:rPr>
          <w:rFonts w:ascii="Garamond" w:hAnsi="Garamond" w:cs="ACaslonPro-Regular"/>
          <w:sz w:val="24"/>
          <w:szCs w:val="24"/>
        </w:rPr>
        <w:t xml:space="preserve">and </w:t>
      </w:r>
      <w:r w:rsidRPr="001B40C3">
        <w:rPr>
          <w:rFonts w:ascii="Garamond" w:hAnsi="Garamond" w:cs="Tahoma"/>
          <w:sz w:val="24"/>
          <w:szCs w:val="24"/>
        </w:rPr>
        <w:t>adopted t</w:t>
      </w:r>
      <w:r w:rsidRPr="001B40C3">
        <w:rPr>
          <w:rFonts w:ascii="Garamond" w:hAnsi="Garamond" w:cs="ACaslonPro-Regular"/>
          <w:sz w:val="24"/>
          <w:szCs w:val="24"/>
        </w:rPr>
        <w:t>he Addis Ababa Action Agenda (AAAA)</w:t>
      </w:r>
      <w:r w:rsidRPr="001B40C3">
        <w:rPr>
          <w:rStyle w:val="FootnoteReference"/>
          <w:rFonts w:ascii="Garamond" w:hAnsi="Garamond" w:cs="ACaslonPro-Regular"/>
          <w:sz w:val="24"/>
          <w:szCs w:val="24"/>
        </w:rPr>
        <w:footnoteReference w:id="9"/>
      </w:r>
      <w:r>
        <w:rPr>
          <w:rFonts w:ascii="Garamond" w:hAnsi="Garamond" w:cs="ACaslonPro-Regular"/>
          <w:sz w:val="24"/>
          <w:szCs w:val="24"/>
        </w:rPr>
        <w:t xml:space="preserve"> (or Addis Agenda) (UN, 2015a). </w:t>
      </w:r>
      <w:r>
        <w:rPr>
          <w:rFonts w:ascii="Garamond" w:hAnsi="Garamond" w:cs="Tahoma"/>
          <w:sz w:val="24"/>
          <w:szCs w:val="24"/>
        </w:rPr>
        <w:t xml:space="preserve">The Addis Ababa conference on FfD was intended to </w:t>
      </w:r>
      <w:r w:rsidRPr="00E31E52">
        <w:rPr>
          <w:rFonts w:ascii="Garamond" w:hAnsi="Garamond" w:cs="Tahoma"/>
          <w:sz w:val="24"/>
          <w:szCs w:val="24"/>
        </w:rPr>
        <w:t>assess the progress made in the implementa</w:t>
      </w:r>
      <w:r>
        <w:rPr>
          <w:rFonts w:ascii="Garamond" w:hAnsi="Garamond" w:cs="Tahoma"/>
          <w:sz w:val="24"/>
          <w:szCs w:val="24"/>
        </w:rPr>
        <w:t>t</w:t>
      </w:r>
      <w:r w:rsidRPr="00E31E52">
        <w:rPr>
          <w:rFonts w:ascii="Garamond" w:hAnsi="Garamond" w:cs="Tahoma"/>
          <w:sz w:val="24"/>
          <w:szCs w:val="24"/>
        </w:rPr>
        <w:t>ion of the Monterrey Consensus and the</w:t>
      </w:r>
      <w:r>
        <w:rPr>
          <w:rFonts w:ascii="Garamond" w:hAnsi="Garamond" w:cs="Tahoma"/>
          <w:sz w:val="24"/>
          <w:szCs w:val="24"/>
        </w:rPr>
        <w:t xml:space="preserve"> </w:t>
      </w:r>
      <w:r w:rsidRPr="00E31E52">
        <w:rPr>
          <w:rFonts w:ascii="Garamond" w:hAnsi="Garamond" w:cs="Tahoma"/>
          <w:sz w:val="24"/>
          <w:szCs w:val="24"/>
        </w:rPr>
        <w:t>Doha Declara</w:t>
      </w:r>
      <w:r>
        <w:rPr>
          <w:rFonts w:ascii="Garamond" w:hAnsi="Garamond" w:cs="Tahoma"/>
          <w:sz w:val="24"/>
          <w:szCs w:val="24"/>
        </w:rPr>
        <w:t xml:space="preserve">tion, address new and emerging issues on development financing, and </w:t>
      </w:r>
      <w:r w:rsidRPr="00E31E52">
        <w:rPr>
          <w:rFonts w:ascii="Garamond" w:hAnsi="Garamond" w:cs="Tahoma"/>
          <w:sz w:val="24"/>
          <w:szCs w:val="24"/>
        </w:rPr>
        <w:t xml:space="preserve">strengthen the </w:t>
      </w:r>
      <w:r>
        <w:rPr>
          <w:rFonts w:ascii="Garamond" w:hAnsi="Garamond" w:cs="Tahoma"/>
          <w:sz w:val="24"/>
          <w:szCs w:val="24"/>
        </w:rPr>
        <w:t>f</w:t>
      </w:r>
      <w:r w:rsidRPr="00E31E52">
        <w:rPr>
          <w:rFonts w:ascii="Garamond" w:hAnsi="Garamond" w:cs="Tahoma"/>
          <w:sz w:val="24"/>
          <w:szCs w:val="24"/>
        </w:rPr>
        <w:t>inancing for</w:t>
      </w:r>
      <w:r>
        <w:rPr>
          <w:rFonts w:ascii="Garamond" w:hAnsi="Garamond" w:cs="Tahoma"/>
          <w:sz w:val="24"/>
          <w:szCs w:val="24"/>
        </w:rPr>
        <w:t xml:space="preserve"> development follow-up process (Khan, 2016).</w:t>
      </w:r>
      <w:r w:rsidRPr="00D615FF">
        <w:rPr>
          <w:rFonts w:ascii="Garamond" w:hAnsi="Garamond" w:cs="Tahoma"/>
          <w:sz w:val="24"/>
          <w:szCs w:val="24"/>
        </w:rPr>
        <w:t xml:space="preserve"> </w:t>
      </w:r>
      <w:r>
        <w:rPr>
          <w:rFonts w:ascii="Garamond" w:hAnsi="Garamond" w:cs="Tahoma"/>
          <w:sz w:val="24"/>
          <w:szCs w:val="24"/>
        </w:rPr>
        <w:t>T</w:t>
      </w:r>
      <w:r w:rsidRPr="00D43B55">
        <w:rPr>
          <w:rFonts w:ascii="Garamond" w:hAnsi="Garamond" w:cs="Tahoma"/>
          <w:sz w:val="24"/>
          <w:szCs w:val="24"/>
        </w:rPr>
        <w:t xml:space="preserve">he Addis Agenda </w:t>
      </w:r>
      <w:r>
        <w:rPr>
          <w:rFonts w:ascii="Garamond" w:hAnsi="Garamond" w:cs="Tahoma"/>
          <w:sz w:val="24"/>
          <w:szCs w:val="24"/>
        </w:rPr>
        <w:t xml:space="preserve">provides </w:t>
      </w:r>
      <w:r w:rsidRPr="00D43B55">
        <w:rPr>
          <w:rFonts w:ascii="Garamond" w:hAnsi="Garamond" w:cs="Tahoma"/>
          <w:sz w:val="24"/>
          <w:szCs w:val="24"/>
        </w:rPr>
        <w:t>a holistic and coherent framework</w:t>
      </w:r>
      <w:r>
        <w:rPr>
          <w:rFonts w:ascii="Garamond" w:hAnsi="Garamond" w:cs="Tahoma"/>
          <w:sz w:val="24"/>
          <w:szCs w:val="24"/>
        </w:rPr>
        <w:t xml:space="preserve"> for financing sustainable devel</w:t>
      </w:r>
      <w:r w:rsidRPr="00D43B55">
        <w:rPr>
          <w:rFonts w:ascii="Garamond" w:hAnsi="Garamond" w:cs="Tahoma"/>
          <w:sz w:val="24"/>
          <w:szCs w:val="24"/>
        </w:rPr>
        <w:t xml:space="preserve">opment. </w:t>
      </w:r>
      <w:r>
        <w:rPr>
          <w:rFonts w:ascii="Garamond" w:hAnsi="Garamond" w:cs="Tahoma"/>
          <w:sz w:val="24"/>
          <w:szCs w:val="24"/>
        </w:rPr>
        <w:t xml:space="preserve">In particular, the Addis Agenda is </w:t>
      </w:r>
      <w:r w:rsidRPr="000E660B">
        <w:rPr>
          <w:rFonts w:ascii="Garamond" w:hAnsi="Garamond" w:cs="Tahoma"/>
          <w:sz w:val="24"/>
          <w:szCs w:val="24"/>
        </w:rPr>
        <w:t xml:space="preserve">the </w:t>
      </w:r>
      <w:r w:rsidR="007D5386" w:rsidRPr="000E660B">
        <w:rPr>
          <w:rFonts w:ascii="Garamond" w:hAnsi="Garamond" w:cs="Tahoma"/>
          <w:sz w:val="24"/>
          <w:szCs w:val="24"/>
        </w:rPr>
        <w:t>intergovernmental</w:t>
      </w:r>
      <w:r w:rsidRPr="000E660B">
        <w:rPr>
          <w:rFonts w:ascii="Garamond" w:hAnsi="Garamond" w:cs="Tahoma"/>
          <w:sz w:val="24"/>
          <w:szCs w:val="24"/>
        </w:rPr>
        <w:t>-negotiated outcome document on mobilizing financial and technical resources for development from an increased number of actors to support the implementation of Sustainable Development Goals (SDGs) covering the period 2016-2030.</w:t>
      </w:r>
    </w:p>
    <w:p w:rsidR="00AF68BB" w:rsidRDefault="00AF68BB" w:rsidP="00C26A15">
      <w:pPr>
        <w:spacing w:after="0" w:line="240" w:lineRule="auto"/>
        <w:jc w:val="both"/>
        <w:rPr>
          <w:rFonts w:ascii="Garamond" w:hAnsi="Garamond" w:cs="Tahoma"/>
          <w:sz w:val="24"/>
          <w:szCs w:val="24"/>
        </w:rPr>
      </w:pPr>
    </w:p>
    <w:p w:rsidR="00A30924" w:rsidRDefault="00A30924" w:rsidP="00C26A15">
      <w:pPr>
        <w:spacing w:after="0" w:line="240" w:lineRule="auto"/>
        <w:jc w:val="both"/>
        <w:rPr>
          <w:rFonts w:ascii="Garamond" w:hAnsi="Garamond"/>
          <w:sz w:val="24"/>
          <w:szCs w:val="24"/>
        </w:rPr>
      </w:pPr>
      <w:r>
        <w:rPr>
          <w:rFonts w:ascii="Garamond" w:hAnsi="Garamond" w:cs="Tahoma"/>
          <w:sz w:val="24"/>
          <w:szCs w:val="24"/>
        </w:rPr>
        <w:t>T</w:t>
      </w:r>
      <w:r w:rsidRPr="00D43B55">
        <w:rPr>
          <w:rFonts w:ascii="Garamond" w:hAnsi="Garamond" w:cs="Tahoma"/>
          <w:sz w:val="24"/>
          <w:szCs w:val="24"/>
        </w:rPr>
        <w:t xml:space="preserve">he Addis Agenda </w:t>
      </w:r>
      <w:r>
        <w:rPr>
          <w:rFonts w:ascii="Garamond" w:hAnsi="Garamond" w:cs="Tahoma"/>
          <w:sz w:val="24"/>
          <w:szCs w:val="24"/>
        </w:rPr>
        <w:t>also consist</w:t>
      </w:r>
      <w:r w:rsidR="008409A6">
        <w:rPr>
          <w:rFonts w:ascii="Garamond" w:hAnsi="Garamond" w:cs="Tahoma"/>
          <w:sz w:val="24"/>
          <w:szCs w:val="24"/>
        </w:rPr>
        <w:t xml:space="preserve">s </w:t>
      </w:r>
      <w:r>
        <w:rPr>
          <w:rFonts w:ascii="Garamond" w:hAnsi="Garamond" w:cs="Tahoma"/>
          <w:sz w:val="24"/>
          <w:szCs w:val="24"/>
        </w:rPr>
        <w:t xml:space="preserve">of </w:t>
      </w:r>
      <w:r w:rsidRPr="00D43B55">
        <w:rPr>
          <w:rFonts w:ascii="Garamond" w:hAnsi="Garamond" w:cs="Tahoma"/>
          <w:sz w:val="24"/>
          <w:szCs w:val="24"/>
        </w:rPr>
        <w:t>concrete actions that Member States of the United Nations pledged to undertake individually and collectively.</w:t>
      </w:r>
      <w:r>
        <w:rPr>
          <w:rFonts w:ascii="Garamond" w:hAnsi="Garamond" w:cs="Tahoma"/>
          <w:sz w:val="24"/>
          <w:szCs w:val="24"/>
        </w:rPr>
        <w:t xml:space="preserve"> </w:t>
      </w:r>
      <w:r w:rsidRPr="005A0801">
        <w:rPr>
          <w:rFonts w:ascii="Garamond" w:hAnsi="Garamond" w:cs="Tahoma"/>
          <w:sz w:val="24"/>
          <w:szCs w:val="24"/>
        </w:rPr>
        <w:t xml:space="preserve">Building on Monterrey and </w:t>
      </w:r>
      <w:r>
        <w:rPr>
          <w:rFonts w:ascii="Garamond" w:hAnsi="Garamond" w:cs="Tahoma"/>
          <w:sz w:val="24"/>
          <w:szCs w:val="24"/>
        </w:rPr>
        <w:t>Doha Declarations</w:t>
      </w:r>
      <w:r w:rsidRPr="005A0801">
        <w:rPr>
          <w:rFonts w:ascii="Garamond" w:hAnsi="Garamond" w:cs="Tahoma"/>
          <w:sz w:val="24"/>
          <w:szCs w:val="24"/>
        </w:rPr>
        <w:t>, the Addis Agenda rea</w:t>
      </w:r>
      <w:r>
        <w:rPr>
          <w:rFonts w:ascii="Garamond" w:hAnsi="Garamond" w:cs="Tahoma"/>
          <w:sz w:val="24"/>
          <w:szCs w:val="24"/>
        </w:rPr>
        <w:t>f</w:t>
      </w:r>
      <w:r w:rsidRPr="005A0801">
        <w:rPr>
          <w:rFonts w:ascii="Garamond" w:hAnsi="Garamond" w:cs="Tahoma"/>
          <w:sz w:val="24"/>
          <w:szCs w:val="24"/>
        </w:rPr>
        <w:t xml:space="preserve">firms that developing </w:t>
      </w:r>
      <w:r w:rsidRPr="00AA4287">
        <w:rPr>
          <w:rFonts w:ascii="Garamond" w:hAnsi="Garamond" w:cs="Tahoma"/>
          <w:sz w:val="24"/>
          <w:szCs w:val="24"/>
        </w:rPr>
        <w:t xml:space="preserve">countries have primary responsibility for their own economic and social development. </w:t>
      </w:r>
      <w:r w:rsidRPr="0072091B">
        <w:rPr>
          <w:rFonts w:ascii="Garamond" w:hAnsi="Garamond" w:cs="Tahoma"/>
          <w:sz w:val="24"/>
          <w:szCs w:val="24"/>
        </w:rPr>
        <w:t xml:space="preserve">National sustainable development strategies are thus a core </w:t>
      </w:r>
      <w:r w:rsidRPr="0072091B">
        <w:rPr>
          <w:rFonts w:ascii="Garamond" w:hAnsi="Garamond" w:cs="Tahoma"/>
          <w:sz w:val="24"/>
          <w:szCs w:val="24"/>
        </w:rPr>
        <w:lastRenderedPageBreak/>
        <w:t>element of the Addis Agenda. The Addis Agenda sets out an ambitious agenda for raising the necessary resources to achieve an equally a</w:t>
      </w:r>
      <w:r w:rsidRPr="0072091B">
        <w:rPr>
          <w:rFonts w:ascii="Garamond" w:hAnsi="Garamond"/>
          <w:sz w:val="24"/>
          <w:szCs w:val="24"/>
        </w:rPr>
        <w:t xml:space="preserve">mbitious </w:t>
      </w:r>
      <w:r w:rsidR="00CF4B48">
        <w:rPr>
          <w:rFonts w:ascii="Garamond" w:hAnsi="Garamond"/>
          <w:sz w:val="24"/>
          <w:szCs w:val="24"/>
        </w:rPr>
        <w:t xml:space="preserve">the 2030 Agenda </w:t>
      </w:r>
      <w:r w:rsidR="00CF4B48" w:rsidRPr="0072091B">
        <w:rPr>
          <w:rFonts w:ascii="Garamond" w:hAnsi="Garamond"/>
          <w:sz w:val="24"/>
          <w:szCs w:val="24"/>
        </w:rPr>
        <w:t>including</w:t>
      </w:r>
      <w:r w:rsidRPr="0072091B">
        <w:rPr>
          <w:rFonts w:ascii="Garamond" w:hAnsi="Garamond"/>
          <w:sz w:val="24"/>
          <w:szCs w:val="24"/>
        </w:rPr>
        <w:t xml:space="preserve"> SDGs (</w:t>
      </w:r>
      <w:r w:rsidRPr="0072091B">
        <w:rPr>
          <w:rFonts w:ascii="Garamond" w:hAnsi="Garamond" w:cs="Tahoma"/>
          <w:sz w:val="24"/>
          <w:szCs w:val="24"/>
        </w:rPr>
        <w:t xml:space="preserve">Karoubi </w:t>
      </w:r>
      <w:r w:rsidRPr="0072091B">
        <w:rPr>
          <w:rFonts w:ascii="Garamond" w:hAnsi="Garamond" w:cs="Tahoma"/>
          <w:i/>
          <w:sz w:val="24"/>
          <w:szCs w:val="24"/>
        </w:rPr>
        <w:t>et al</w:t>
      </w:r>
      <w:r w:rsidRPr="0072091B">
        <w:rPr>
          <w:rFonts w:ascii="Garamond" w:hAnsi="Garamond" w:cs="Tahoma"/>
          <w:sz w:val="24"/>
          <w:szCs w:val="24"/>
        </w:rPr>
        <w:t xml:space="preserve">., 2016). It should be noted that SDGs </w:t>
      </w:r>
      <w:r w:rsidRPr="0072091B">
        <w:rPr>
          <w:rFonts w:ascii="Garamond" w:hAnsi="Garamond"/>
          <w:sz w:val="24"/>
          <w:szCs w:val="24"/>
        </w:rPr>
        <w:t>go beyond poverty</w:t>
      </w:r>
      <w:r w:rsidRPr="001D0393">
        <w:rPr>
          <w:rFonts w:ascii="Garamond" w:hAnsi="Garamond"/>
          <w:sz w:val="24"/>
          <w:szCs w:val="24"/>
        </w:rPr>
        <w:t xml:space="preserve"> reduction and now include targets in industrialization, employment, and economic growth and infrastructure development.</w:t>
      </w:r>
    </w:p>
    <w:p w:rsidR="00A30924" w:rsidRPr="001D0393" w:rsidRDefault="00A30924" w:rsidP="00C26A15">
      <w:pPr>
        <w:spacing w:after="0" w:line="240" w:lineRule="auto"/>
        <w:jc w:val="both"/>
        <w:rPr>
          <w:rFonts w:ascii="Garamond" w:hAnsi="Garamond" w:cs="Tahoma"/>
          <w:sz w:val="24"/>
          <w:szCs w:val="24"/>
        </w:rPr>
      </w:pPr>
    </w:p>
    <w:p w:rsidR="00A30924" w:rsidRDefault="00A30924" w:rsidP="00C26A15">
      <w:pPr>
        <w:spacing w:after="0" w:line="240" w:lineRule="auto"/>
        <w:jc w:val="both"/>
        <w:rPr>
          <w:rFonts w:ascii="Garamond" w:hAnsi="Garamond" w:cs="Tahoma"/>
          <w:sz w:val="24"/>
          <w:szCs w:val="24"/>
        </w:rPr>
      </w:pPr>
      <w:r>
        <w:rPr>
          <w:rFonts w:ascii="Garamond" w:hAnsi="Garamond" w:cs="Tahoma"/>
          <w:sz w:val="24"/>
          <w:szCs w:val="24"/>
        </w:rPr>
        <w:t>T</w:t>
      </w:r>
      <w:r w:rsidRPr="004612F6">
        <w:rPr>
          <w:rFonts w:ascii="Garamond" w:hAnsi="Garamond" w:cs="Tahoma"/>
          <w:sz w:val="24"/>
          <w:szCs w:val="24"/>
        </w:rPr>
        <w:t>he Addis Agenda explicitly incorporates major non-</w:t>
      </w:r>
      <w:r>
        <w:rPr>
          <w:rFonts w:ascii="Garamond" w:hAnsi="Garamond" w:cs="Tahoma"/>
          <w:sz w:val="24"/>
          <w:szCs w:val="24"/>
        </w:rPr>
        <w:t>f</w:t>
      </w:r>
      <w:r w:rsidRPr="004612F6">
        <w:rPr>
          <w:rFonts w:ascii="Garamond" w:hAnsi="Garamond" w:cs="Tahoma"/>
          <w:sz w:val="24"/>
          <w:szCs w:val="24"/>
        </w:rPr>
        <w:t xml:space="preserve">inancial </w:t>
      </w:r>
      <w:r>
        <w:rPr>
          <w:rFonts w:ascii="Garamond" w:hAnsi="Garamond" w:cs="Tahoma"/>
          <w:sz w:val="24"/>
          <w:szCs w:val="24"/>
        </w:rPr>
        <w:t xml:space="preserve">means of implementation </w:t>
      </w:r>
      <w:r w:rsidRPr="004612F6">
        <w:rPr>
          <w:rFonts w:ascii="Garamond" w:hAnsi="Garamond" w:cs="Tahoma"/>
          <w:sz w:val="24"/>
          <w:szCs w:val="24"/>
        </w:rPr>
        <w:t xml:space="preserve">for delivering sustainable development along with the more traditional </w:t>
      </w:r>
      <w:r>
        <w:rPr>
          <w:rFonts w:ascii="Garamond" w:hAnsi="Garamond" w:cs="Tahoma"/>
          <w:sz w:val="24"/>
          <w:szCs w:val="24"/>
        </w:rPr>
        <w:t>finan</w:t>
      </w:r>
      <w:r w:rsidRPr="004612F6">
        <w:rPr>
          <w:rFonts w:ascii="Garamond" w:hAnsi="Garamond" w:cs="Tahoma"/>
          <w:sz w:val="24"/>
          <w:szCs w:val="24"/>
        </w:rPr>
        <w:t>cial means, complementing and contextualizing them in a comprehensive framework.</w:t>
      </w:r>
      <w:r w:rsidR="00731290">
        <w:rPr>
          <w:rFonts w:ascii="Garamond" w:hAnsi="Garamond" w:cs="Tahoma"/>
          <w:sz w:val="24"/>
          <w:szCs w:val="24"/>
        </w:rPr>
        <w:t xml:space="preserve"> </w:t>
      </w:r>
      <w:r>
        <w:rPr>
          <w:rFonts w:ascii="Garamond" w:hAnsi="Garamond" w:cs="Tahoma"/>
          <w:sz w:val="24"/>
          <w:szCs w:val="24"/>
        </w:rPr>
        <w:t>T</w:t>
      </w:r>
      <w:r w:rsidRPr="00706E9E">
        <w:rPr>
          <w:rFonts w:ascii="Garamond" w:hAnsi="Garamond" w:cs="Tahoma"/>
          <w:sz w:val="24"/>
          <w:szCs w:val="24"/>
        </w:rPr>
        <w:t xml:space="preserve">he Addis Agenda goes beyond Monterrey and Doha outcomes by taking into account policy </w:t>
      </w:r>
      <w:r>
        <w:rPr>
          <w:rFonts w:ascii="Garamond" w:hAnsi="Garamond" w:cs="Tahoma"/>
          <w:sz w:val="24"/>
          <w:szCs w:val="24"/>
        </w:rPr>
        <w:t>requirements</w:t>
      </w:r>
      <w:r w:rsidRPr="00706E9E">
        <w:rPr>
          <w:rFonts w:ascii="Garamond" w:hAnsi="Garamond" w:cs="Tahoma"/>
          <w:sz w:val="24"/>
          <w:szCs w:val="24"/>
        </w:rPr>
        <w:t xml:space="preserve"> for realizing all </w:t>
      </w:r>
      <w:r>
        <w:rPr>
          <w:rFonts w:ascii="Garamond" w:hAnsi="Garamond" w:cs="Tahoma"/>
          <w:sz w:val="24"/>
          <w:szCs w:val="24"/>
        </w:rPr>
        <w:t xml:space="preserve">the </w:t>
      </w:r>
      <w:r w:rsidRPr="00706E9E">
        <w:rPr>
          <w:rFonts w:ascii="Garamond" w:hAnsi="Garamond" w:cs="Tahoma"/>
          <w:sz w:val="24"/>
          <w:szCs w:val="24"/>
        </w:rPr>
        <w:t>three dimensions of sustainable development</w:t>
      </w:r>
      <w:r>
        <w:rPr>
          <w:rFonts w:ascii="Garamond" w:hAnsi="Garamond" w:cs="Tahoma"/>
          <w:sz w:val="24"/>
          <w:szCs w:val="24"/>
        </w:rPr>
        <w:t xml:space="preserve"> (i.e. </w:t>
      </w:r>
      <w:r w:rsidRPr="00706E9E">
        <w:rPr>
          <w:rFonts w:ascii="Garamond" w:hAnsi="Garamond" w:cs="Tahoma"/>
          <w:sz w:val="24"/>
          <w:szCs w:val="24"/>
        </w:rPr>
        <w:t xml:space="preserve">economic, social </w:t>
      </w:r>
      <w:r>
        <w:rPr>
          <w:rFonts w:ascii="Garamond" w:hAnsi="Garamond" w:cs="Tahoma"/>
          <w:sz w:val="24"/>
          <w:szCs w:val="24"/>
        </w:rPr>
        <w:t xml:space="preserve">and environmental) </w:t>
      </w:r>
      <w:r w:rsidRPr="00706E9E">
        <w:rPr>
          <w:rFonts w:ascii="Garamond" w:hAnsi="Garamond" w:cs="Tahoma"/>
          <w:sz w:val="24"/>
          <w:szCs w:val="24"/>
        </w:rPr>
        <w:t>in an integrated manner. It emphasizes the importance of incentives for private sector investment, a</w:t>
      </w:r>
      <w:r>
        <w:rPr>
          <w:rFonts w:ascii="Garamond" w:hAnsi="Garamond" w:cs="Tahoma"/>
          <w:sz w:val="24"/>
          <w:szCs w:val="24"/>
        </w:rPr>
        <w:t>s well as the quality of invest</w:t>
      </w:r>
      <w:r w:rsidRPr="00706E9E">
        <w:rPr>
          <w:rFonts w:ascii="Garamond" w:hAnsi="Garamond" w:cs="Tahoma"/>
          <w:sz w:val="24"/>
          <w:szCs w:val="24"/>
        </w:rPr>
        <w:t xml:space="preserve">ment. It also </w:t>
      </w:r>
      <w:r>
        <w:rPr>
          <w:rFonts w:ascii="Garamond" w:hAnsi="Garamond" w:cs="Tahoma"/>
          <w:sz w:val="24"/>
          <w:szCs w:val="24"/>
        </w:rPr>
        <w:t xml:space="preserve">focuses on </w:t>
      </w:r>
      <w:r w:rsidRPr="00706E9E">
        <w:rPr>
          <w:rFonts w:ascii="Garamond" w:hAnsi="Garamond" w:cs="Tahoma"/>
          <w:sz w:val="24"/>
          <w:szCs w:val="24"/>
        </w:rPr>
        <w:t xml:space="preserve">sustainable consumption and production patterns globally. In doing so, it brings issues such as climate </w:t>
      </w:r>
      <w:r>
        <w:rPr>
          <w:rFonts w:ascii="Garamond" w:hAnsi="Garamond" w:cs="Tahoma"/>
          <w:sz w:val="24"/>
          <w:szCs w:val="24"/>
        </w:rPr>
        <w:t>f</w:t>
      </w:r>
      <w:r w:rsidRPr="00706E9E">
        <w:rPr>
          <w:rFonts w:ascii="Garamond" w:hAnsi="Garamond" w:cs="Tahoma"/>
          <w:sz w:val="24"/>
          <w:szCs w:val="24"/>
        </w:rPr>
        <w:t>inance, protection of oceans and fores</w:t>
      </w:r>
      <w:r>
        <w:rPr>
          <w:rFonts w:ascii="Garamond" w:hAnsi="Garamond" w:cs="Tahoma"/>
          <w:sz w:val="24"/>
          <w:szCs w:val="24"/>
        </w:rPr>
        <w:t>ts, and other environmental con</w:t>
      </w:r>
      <w:r w:rsidRPr="00706E9E">
        <w:rPr>
          <w:rFonts w:ascii="Garamond" w:hAnsi="Garamond" w:cs="Tahoma"/>
          <w:sz w:val="24"/>
          <w:szCs w:val="24"/>
        </w:rPr>
        <w:t xml:space="preserve">cerns, and incorporates these </w:t>
      </w:r>
      <w:r>
        <w:rPr>
          <w:rFonts w:ascii="Garamond" w:hAnsi="Garamond" w:cs="Tahoma"/>
          <w:sz w:val="24"/>
          <w:szCs w:val="24"/>
        </w:rPr>
        <w:t>into the Monterrey global coher</w:t>
      </w:r>
      <w:r w:rsidRPr="00706E9E">
        <w:rPr>
          <w:rFonts w:ascii="Garamond" w:hAnsi="Garamond" w:cs="Tahoma"/>
          <w:sz w:val="24"/>
          <w:szCs w:val="24"/>
        </w:rPr>
        <w:t xml:space="preserve">ence agenda, along with issues of trade and global </w:t>
      </w:r>
      <w:r>
        <w:rPr>
          <w:rFonts w:ascii="Garamond" w:hAnsi="Garamond" w:cs="Tahoma"/>
          <w:sz w:val="24"/>
          <w:szCs w:val="24"/>
        </w:rPr>
        <w:t>f</w:t>
      </w:r>
      <w:r w:rsidRPr="00706E9E">
        <w:rPr>
          <w:rFonts w:ascii="Garamond" w:hAnsi="Garamond" w:cs="Tahoma"/>
          <w:sz w:val="24"/>
          <w:szCs w:val="24"/>
        </w:rPr>
        <w:t>inancial stability.</w:t>
      </w:r>
    </w:p>
    <w:p w:rsidR="00A30924" w:rsidRDefault="00A30924" w:rsidP="00C26A15">
      <w:pPr>
        <w:spacing w:after="0" w:line="240" w:lineRule="auto"/>
        <w:jc w:val="both"/>
        <w:rPr>
          <w:rFonts w:ascii="Garamond" w:hAnsi="Garamond" w:cs="Tahoma"/>
          <w:sz w:val="24"/>
          <w:szCs w:val="24"/>
        </w:rPr>
      </w:pPr>
    </w:p>
    <w:p w:rsidR="00A30924" w:rsidRDefault="00A30924" w:rsidP="00C26A15">
      <w:pPr>
        <w:spacing w:after="0" w:line="240" w:lineRule="auto"/>
        <w:jc w:val="both"/>
        <w:rPr>
          <w:rFonts w:ascii="Garamond" w:hAnsi="Garamond" w:cs="Tahoma"/>
          <w:sz w:val="24"/>
          <w:szCs w:val="24"/>
        </w:rPr>
      </w:pPr>
      <w:r>
        <w:rPr>
          <w:rFonts w:ascii="Garamond" w:hAnsi="Garamond" w:cs="Tahoma"/>
          <w:sz w:val="24"/>
          <w:szCs w:val="24"/>
        </w:rPr>
        <w:t>T</w:t>
      </w:r>
      <w:r w:rsidRPr="0084028A">
        <w:rPr>
          <w:rFonts w:ascii="Garamond" w:hAnsi="Garamond" w:cs="Tahoma"/>
          <w:sz w:val="24"/>
          <w:szCs w:val="24"/>
        </w:rPr>
        <w:t xml:space="preserve">he Addis Agenda aims to mobilize public </w:t>
      </w:r>
      <w:r>
        <w:rPr>
          <w:rFonts w:ascii="Garamond" w:hAnsi="Garamond" w:cs="Tahoma"/>
          <w:sz w:val="24"/>
          <w:szCs w:val="24"/>
        </w:rPr>
        <w:t>f</w:t>
      </w:r>
      <w:r w:rsidRPr="0084028A">
        <w:rPr>
          <w:rFonts w:ascii="Garamond" w:hAnsi="Garamond" w:cs="Tahoma"/>
          <w:sz w:val="24"/>
          <w:szCs w:val="24"/>
        </w:rPr>
        <w:t>inance, set appropriate publi</w:t>
      </w:r>
      <w:r>
        <w:rPr>
          <w:rFonts w:ascii="Garamond" w:hAnsi="Garamond" w:cs="Tahoma"/>
          <w:sz w:val="24"/>
          <w:szCs w:val="24"/>
        </w:rPr>
        <w:t>c policies and regulatory frame</w:t>
      </w:r>
      <w:r w:rsidRPr="0084028A">
        <w:rPr>
          <w:rFonts w:ascii="Garamond" w:hAnsi="Garamond" w:cs="Tahoma"/>
          <w:sz w:val="24"/>
          <w:szCs w:val="24"/>
        </w:rPr>
        <w:t xml:space="preserve">works to unlock </w:t>
      </w:r>
      <w:r>
        <w:rPr>
          <w:rFonts w:ascii="Garamond" w:hAnsi="Garamond" w:cs="Tahoma"/>
          <w:sz w:val="24"/>
          <w:szCs w:val="24"/>
        </w:rPr>
        <w:t>private finance, trade opportuni</w:t>
      </w:r>
      <w:r w:rsidRPr="0084028A">
        <w:rPr>
          <w:rFonts w:ascii="Garamond" w:hAnsi="Garamond" w:cs="Tahoma"/>
          <w:sz w:val="24"/>
          <w:szCs w:val="24"/>
        </w:rPr>
        <w:t>ties and technological development, and incentivize changes in consu</w:t>
      </w:r>
      <w:r>
        <w:rPr>
          <w:rFonts w:ascii="Garamond" w:hAnsi="Garamond" w:cs="Tahoma"/>
          <w:sz w:val="24"/>
          <w:szCs w:val="24"/>
        </w:rPr>
        <w:t>mption, production and invest</w:t>
      </w:r>
      <w:r w:rsidRPr="0084028A">
        <w:rPr>
          <w:rFonts w:ascii="Garamond" w:hAnsi="Garamond" w:cs="Tahoma"/>
          <w:sz w:val="24"/>
          <w:szCs w:val="24"/>
        </w:rPr>
        <w:t xml:space="preserve">ment patterns. It further seeks to align all resource </w:t>
      </w:r>
      <w:r w:rsidR="00282AB1">
        <w:rPr>
          <w:rFonts w:ascii="Garamond" w:hAnsi="Garamond" w:cs="Tahoma"/>
          <w:sz w:val="24"/>
          <w:szCs w:val="24"/>
        </w:rPr>
        <w:t>f</w:t>
      </w:r>
      <w:r w:rsidRPr="0084028A">
        <w:rPr>
          <w:rFonts w:ascii="Garamond" w:hAnsi="Garamond" w:cs="Tahoma"/>
          <w:sz w:val="24"/>
          <w:szCs w:val="24"/>
        </w:rPr>
        <w:t>lows and policies</w:t>
      </w:r>
      <w:r>
        <w:rPr>
          <w:rFonts w:ascii="Garamond" w:hAnsi="Garamond" w:cs="Tahoma"/>
          <w:sz w:val="24"/>
          <w:szCs w:val="24"/>
        </w:rPr>
        <w:t xml:space="preserve"> with economic, social and envi</w:t>
      </w:r>
      <w:r w:rsidRPr="0084028A">
        <w:rPr>
          <w:rFonts w:ascii="Garamond" w:hAnsi="Garamond" w:cs="Tahoma"/>
          <w:sz w:val="24"/>
          <w:szCs w:val="24"/>
        </w:rPr>
        <w:t>ronmental priorities.</w:t>
      </w:r>
    </w:p>
    <w:p w:rsidR="00A30924" w:rsidRDefault="00A30924" w:rsidP="00C26A15">
      <w:pPr>
        <w:spacing w:after="0" w:line="240" w:lineRule="auto"/>
        <w:jc w:val="both"/>
        <w:rPr>
          <w:rFonts w:ascii="Garamond" w:hAnsi="Garamond" w:cs="Tahoma"/>
          <w:sz w:val="24"/>
          <w:szCs w:val="24"/>
        </w:rPr>
      </w:pPr>
    </w:p>
    <w:p w:rsidR="00A30924" w:rsidRPr="00331EC2" w:rsidRDefault="00A30924" w:rsidP="00C26A15">
      <w:pPr>
        <w:spacing w:after="0" w:line="240" w:lineRule="auto"/>
        <w:jc w:val="both"/>
        <w:rPr>
          <w:rFonts w:ascii="Garamond" w:hAnsi="Garamond" w:cs="Tahoma"/>
          <w:b/>
          <w:sz w:val="24"/>
          <w:szCs w:val="24"/>
        </w:rPr>
      </w:pPr>
      <w:r>
        <w:rPr>
          <w:rFonts w:ascii="Garamond" w:hAnsi="Garamond" w:cs="Tahoma"/>
          <w:sz w:val="24"/>
          <w:szCs w:val="24"/>
        </w:rPr>
        <w:t>T</w:t>
      </w:r>
      <w:r w:rsidRPr="004E2A86">
        <w:rPr>
          <w:rFonts w:ascii="Garamond" w:hAnsi="Garamond" w:cs="Tahoma"/>
          <w:sz w:val="24"/>
          <w:szCs w:val="24"/>
        </w:rPr>
        <w:t xml:space="preserve">he commitments and action items in the Addis Agenda are organized in seven main action </w:t>
      </w:r>
      <w:r>
        <w:rPr>
          <w:rFonts w:ascii="Garamond" w:hAnsi="Garamond" w:cs="Tahoma"/>
          <w:sz w:val="24"/>
          <w:szCs w:val="24"/>
        </w:rPr>
        <w:t>a</w:t>
      </w:r>
      <w:r w:rsidRPr="004E2A86">
        <w:rPr>
          <w:rFonts w:ascii="Garamond" w:hAnsi="Garamond" w:cs="Tahoma"/>
          <w:sz w:val="24"/>
          <w:szCs w:val="24"/>
        </w:rPr>
        <w:t xml:space="preserve">reas </w:t>
      </w:r>
      <w:r>
        <w:rPr>
          <w:rFonts w:ascii="Garamond" w:hAnsi="Garamond" w:cs="Tahoma"/>
          <w:sz w:val="24"/>
          <w:szCs w:val="24"/>
        </w:rPr>
        <w:t xml:space="preserve">including issues on </w:t>
      </w:r>
      <w:r w:rsidRPr="004E2A86">
        <w:rPr>
          <w:rFonts w:ascii="Garamond" w:hAnsi="Garamond" w:cs="Tahoma"/>
          <w:sz w:val="24"/>
          <w:szCs w:val="24"/>
        </w:rPr>
        <w:t>data, monitoring and fol</w:t>
      </w:r>
      <w:r>
        <w:rPr>
          <w:rFonts w:ascii="Garamond" w:hAnsi="Garamond" w:cs="Tahoma"/>
          <w:sz w:val="24"/>
          <w:szCs w:val="24"/>
        </w:rPr>
        <w:t xml:space="preserve">low-up </w:t>
      </w:r>
      <w:r w:rsidRPr="004E2A86">
        <w:rPr>
          <w:rFonts w:ascii="Garamond" w:hAnsi="Garamond" w:cs="Tahoma"/>
          <w:sz w:val="24"/>
          <w:szCs w:val="24"/>
        </w:rPr>
        <w:t xml:space="preserve">(see </w:t>
      </w:r>
      <w:r>
        <w:rPr>
          <w:rFonts w:ascii="Garamond" w:hAnsi="Garamond" w:cs="Tahoma"/>
          <w:sz w:val="24"/>
          <w:szCs w:val="24"/>
        </w:rPr>
        <w:t>Box</w:t>
      </w:r>
      <w:r w:rsidRPr="004E2A86">
        <w:rPr>
          <w:rFonts w:ascii="Garamond" w:hAnsi="Garamond" w:cs="Tahoma"/>
          <w:sz w:val="24"/>
          <w:szCs w:val="24"/>
        </w:rPr>
        <w:t xml:space="preserve"> 1)</w:t>
      </w:r>
      <w:r>
        <w:rPr>
          <w:rFonts w:ascii="Garamond" w:hAnsi="Garamond" w:cs="Tahoma"/>
          <w:sz w:val="24"/>
          <w:szCs w:val="24"/>
        </w:rPr>
        <w:t>. Member States also iden</w:t>
      </w:r>
      <w:r w:rsidRPr="004E2A86">
        <w:rPr>
          <w:rFonts w:ascii="Garamond" w:hAnsi="Garamond" w:cs="Tahoma"/>
          <w:sz w:val="24"/>
          <w:szCs w:val="24"/>
        </w:rPr>
        <w:t>ti</w:t>
      </w:r>
      <w:r>
        <w:rPr>
          <w:rFonts w:ascii="Garamond" w:hAnsi="Garamond" w:cs="Tahoma"/>
          <w:sz w:val="24"/>
          <w:szCs w:val="24"/>
        </w:rPr>
        <w:t>f</w:t>
      </w:r>
      <w:r w:rsidRPr="004E2A86">
        <w:rPr>
          <w:rFonts w:ascii="Garamond" w:hAnsi="Garamond" w:cs="Tahoma"/>
          <w:sz w:val="24"/>
          <w:szCs w:val="24"/>
        </w:rPr>
        <w:t>ied a number of cross-cutting thematic areas where policy actions harness the synergies that exist between many of the speci</w:t>
      </w:r>
      <w:r>
        <w:rPr>
          <w:rFonts w:ascii="Garamond" w:hAnsi="Garamond" w:cs="Tahoma"/>
          <w:sz w:val="24"/>
          <w:szCs w:val="24"/>
        </w:rPr>
        <w:t>f</w:t>
      </w:r>
      <w:r w:rsidRPr="004E2A86">
        <w:rPr>
          <w:rFonts w:ascii="Garamond" w:hAnsi="Garamond" w:cs="Tahoma"/>
          <w:sz w:val="24"/>
          <w:szCs w:val="24"/>
        </w:rPr>
        <w:t xml:space="preserve">ic action items elaborated in the </w:t>
      </w:r>
      <w:r>
        <w:rPr>
          <w:rFonts w:ascii="Garamond" w:hAnsi="Garamond" w:cs="Tahoma"/>
          <w:sz w:val="24"/>
          <w:szCs w:val="24"/>
        </w:rPr>
        <w:t xml:space="preserve">Addis </w:t>
      </w:r>
      <w:r w:rsidRPr="004E2A86">
        <w:rPr>
          <w:rFonts w:ascii="Garamond" w:hAnsi="Garamond" w:cs="Tahoma"/>
          <w:sz w:val="24"/>
          <w:szCs w:val="24"/>
        </w:rPr>
        <w:t>Agenda</w:t>
      </w:r>
      <w:r w:rsidR="009D29DE">
        <w:rPr>
          <w:rFonts w:ascii="Garamond" w:hAnsi="Garamond" w:cs="Tahoma"/>
          <w:sz w:val="24"/>
          <w:szCs w:val="24"/>
        </w:rPr>
        <w:t xml:space="preserve">. </w:t>
      </w:r>
      <w:r w:rsidR="009D29DE">
        <w:rPr>
          <w:rStyle w:val="FootnoteReference"/>
          <w:rFonts w:ascii="Garamond" w:hAnsi="Garamond" w:cs="Tahoma"/>
          <w:sz w:val="24"/>
          <w:szCs w:val="24"/>
        </w:rPr>
        <w:footnoteReference w:id="10"/>
      </w:r>
      <w:r>
        <w:rPr>
          <w:rFonts w:ascii="Garamond" w:hAnsi="Garamond" w:cs="Tahoma"/>
          <w:b/>
          <w:sz w:val="24"/>
          <w:szCs w:val="24"/>
        </w:rPr>
        <w:t xml:space="preserve">     </w:t>
      </w:r>
    </w:p>
    <w:p w:rsidR="00A30924" w:rsidRPr="00FB7367" w:rsidRDefault="00A30924" w:rsidP="00C26A15">
      <w:pPr>
        <w:pBdr>
          <w:top w:val="single" w:sz="4" w:space="1" w:color="auto"/>
          <w:left w:val="single" w:sz="4" w:space="4" w:color="auto"/>
          <w:bottom w:val="single" w:sz="4" w:space="1" w:color="auto"/>
          <w:right w:val="single" w:sz="4" w:space="4" w:color="auto"/>
        </w:pBdr>
        <w:spacing w:after="0" w:line="240" w:lineRule="auto"/>
        <w:ind w:left="360"/>
        <w:jc w:val="both"/>
        <w:rPr>
          <w:rFonts w:ascii="Garamond" w:hAnsi="Garamond" w:cs="Tahoma"/>
          <w:sz w:val="24"/>
          <w:szCs w:val="24"/>
        </w:rPr>
      </w:pPr>
      <w:r w:rsidRPr="00FB7367">
        <w:rPr>
          <w:rFonts w:ascii="Garamond" w:hAnsi="Garamond" w:cs="Tahoma"/>
          <w:b/>
          <w:sz w:val="24"/>
          <w:szCs w:val="24"/>
        </w:rPr>
        <w:t>Box 1: Action areas of the Addis Ababa Action Agenda</w:t>
      </w:r>
    </w:p>
    <w:p w:rsidR="00A30924" w:rsidRPr="00423EFC" w:rsidRDefault="00A30924" w:rsidP="00F82810">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ahoma"/>
          <w:sz w:val="24"/>
          <w:szCs w:val="24"/>
        </w:rPr>
      </w:pPr>
      <w:r w:rsidRPr="00423EFC">
        <w:rPr>
          <w:rFonts w:ascii="Garamond" w:hAnsi="Garamond" w:cs="Tahoma"/>
          <w:sz w:val="24"/>
          <w:szCs w:val="24"/>
        </w:rPr>
        <w:t>Domestic public resources</w:t>
      </w:r>
      <w:r>
        <w:rPr>
          <w:rFonts w:ascii="Garamond" w:hAnsi="Garamond" w:cs="Tahoma"/>
          <w:sz w:val="24"/>
          <w:szCs w:val="24"/>
        </w:rPr>
        <w:t>,</w:t>
      </w:r>
    </w:p>
    <w:p w:rsidR="00A30924" w:rsidRDefault="00A30924" w:rsidP="00F82810">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ahoma"/>
          <w:sz w:val="24"/>
          <w:szCs w:val="24"/>
        </w:rPr>
      </w:pPr>
      <w:r w:rsidRPr="00423EFC">
        <w:rPr>
          <w:rFonts w:ascii="Garamond" w:hAnsi="Garamond" w:cs="Tahoma"/>
          <w:sz w:val="24"/>
          <w:szCs w:val="24"/>
        </w:rPr>
        <w:t>Domestic and international private business and finance</w:t>
      </w:r>
      <w:r>
        <w:rPr>
          <w:rFonts w:ascii="Garamond" w:hAnsi="Garamond" w:cs="Tahoma"/>
          <w:sz w:val="24"/>
          <w:szCs w:val="24"/>
        </w:rPr>
        <w:t>,</w:t>
      </w:r>
      <w:r w:rsidRPr="00423EFC">
        <w:rPr>
          <w:rFonts w:ascii="Garamond" w:hAnsi="Garamond" w:cs="Tahoma"/>
          <w:sz w:val="24"/>
          <w:szCs w:val="24"/>
        </w:rPr>
        <w:t xml:space="preserve"> </w:t>
      </w:r>
    </w:p>
    <w:p w:rsidR="00A30924" w:rsidRDefault="00A30924" w:rsidP="00F82810">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ahoma"/>
          <w:sz w:val="24"/>
          <w:szCs w:val="24"/>
        </w:rPr>
      </w:pPr>
      <w:r w:rsidRPr="00423EFC">
        <w:rPr>
          <w:rFonts w:ascii="Garamond" w:hAnsi="Garamond" w:cs="Tahoma"/>
          <w:sz w:val="24"/>
          <w:szCs w:val="24"/>
        </w:rPr>
        <w:t>International development cooperation</w:t>
      </w:r>
      <w:r>
        <w:rPr>
          <w:rFonts w:ascii="Garamond" w:hAnsi="Garamond" w:cs="Tahoma"/>
          <w:sz w:val="24"/>
          <w:szCs w:val="24"/>
        </w:rPr>
        <w:t>,</w:t>
      </w:r>
      <w:r w:rsidRPr="00423EFC">
        <w:rPr>
          <w:rFonts w:ascii="Garamond" w:hAnsi="Garamond" w:cs="Tahoma"/>
          <w:sz w:val="24"/>
          <w:szCs w:val="24"/>
        </w:rPr>
        <w:t xml:space="preserve"> </w:t>
      </w:r>
    </w:p>
    <w:p w:rsidR="00A30924" w:rsidRDefault="00A30924" w:rsidP="00F82810">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ahoma"/>
          <w:sz w:val="24"/>
          <w:szCs w:val="24"/>
        </w:rPr>
      </w:pPr>
      <w:r w:rsidRPr="00423EFC">
        <w:rPr>
          <w:rFonts w:ascii="Garamond" w:hAnsi="Garamond" w:cs="Tahoma"/>
          <w:sz w:val="24"/>
          <w:szCs w:val="24"/>
        </w:rPr>
        <w:t>International trade as an engine for development</w:t>
      </w:r>
      <w:r>
        <w:rPr>
          <w:rFonts w:ascii="Garamond" w:hAnsi="Garamond" w:cs="Tahoma"/>
          <w:sz w:val="24"/>
          <w:szCs w:val="24"/>
        </w:rPr>
        <w:t>,</w:t>
      </w:r>
    </w:p>
    <w:p w:rsidR="00A30924" w:rsidRDefault="00A30924" w:rsidP="00F82810">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ahoma"/>
          <w:sz w:val="24"/>
          <w:szCs w:val="24"/>
        </w:rPr>
      </w:pPr>
      <w:r w:rsidRPr="00423EFC">
        <w:rPr>
          <w:rFonts w:ascii="Garamond" w:hAnsi="Garamond" w:cs="Tahoma"/>
          <w:sz w:val="24"/>
          <w:szCs w:val="24"/>
        </w:rPr>
        <w:t>Debt and debt sustainability</w:t>
      </w:r>
      <w:r>
        <w:rPr>
          <w:rFonts w:ascii="Garamond" w:hAnsi="Garamond" w:cs="Tahoma"/>
          <w:sz w:val="24"/>
          <w:szCs w:val="24"/>
        </w:rPr>
        <w:t>,</w:t>
      </w:r>
      <w:r w:rsidRPr="00423EFC">
        <w:rPr>
          <w:rFonts w:ascii="Garamond" w:hAnsi="Garamond" w:cs="Tahoma"/>
          <w:sz w:val="24"/>
          <w:szCs w:val="24"/>
        </w:rPr>
        <w:t xml:space="preserve"> </w:t>
      </w:r>
    </w:p>
    <w:p w:rsidR="00A30924" w:rsidRDefault="00A30924" w:rsidP="00F82810">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ahoma"/>
          <w:sz w:val="24"/>
          <w:szCs w:val="24"/>
        </w:rPr>
      </w:pPr>
      <w:r w:rsidRPr="00423EFC">
        <w:rPr>
          <w:rFonts w:ascii="Garamond" w:hAnsi="Garamond" w:cs="Tahoma"/>
          <w:sz w:val="24"/>
          <w:szCs w:val="24"/>
        </w:rPr>
        <w:t>Addressing systemic issues</w:t>
      </w:r>
      <w:r>
        <w:rPr>
          <w:rFonts w:ascii="Garamond" w:hAnsi="Garamond" w:cs="Tahoma"/>
          <w:sz w:val="24"/>
          <w:szCs w:val="24"/>
        </w:rPr>
        <w:t>, and</w:t>
      </w:r>
      <w:r w:rsidRPr="00423EFC">
        <w:rPr>
          <w:rFonts w:ascii="Garamond" w:hAnsi="Garamond" w:cs="Tahoma"/>
          <w:sz w:val="24"/>
          <w:szCs w:val="24"/>
        </w:rPr>
        <w:t xml:space="preserve"> </w:t>
      </w:r>
    </w:p>
    <w:p w:rsidR="00A30924" w:rsidRPr="00423EFC" w:rsidRDefault="00A30924" w:rsidP="00F82810">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jc w:val="both"/>
        <w:rPr>
          <w:rFonts w:ascii="Garamond" w:hAnsi="Garamond" w:cs="Tahoma"/>
          <w:sz w:val="24"/>
          <w:szCs w:val="24"/>
        </w:rPr>
      </w:pPr>
      <w:r w:rsidRPr="00423EFC">
        <w:rPr>
          <w:rFonts w:ascii="Garamond" w:hAnsi="Garamond" w:cs="Tahoma"/>
          <w:sz w:val="24"/>
          <w:szCs w:val="24"/>
        </w:rPr>
        <w:t>Science, technology, innovation and capacity building</w:t>
      </w:r>
    </w:p>
    <w:p w:rsidR="00A30924" w:rsidRDefault="00A30924" w:rsidP="00C26A15">
      <w:pPr>
        <w:spacing w:after="0" w:line="240" w:lineRule="auto"/>
        <w:jc w:val="both"/>
        <w:rPr>
          <w:rFonts w:ascii="Garamond" w:hAnsi="Garamond" w:cs="Tahoma"/>
          <w:b/>
          <w:sz w:val="24"/>
          <w:szCs w:val="24"/>
        </w:rPr>
      </w:pPr>
    </w:p>
    <w:p w:rsidR="00A30924" w:rsidRDefault="00A30924" w:rsidP="00C26A15">
      <w:pPr>
        <w:spacing w:after="0" w:line="240" w:lineRule="auto"/>
        <w:jc w:val="both"/>
        <w:rPr>
          <w:rFonts w:ascii="Garamond" w:hAnsi="Garamond" w:cs="Tahoma"/>
          <w:sz w:val="24"/>
          <w:szCs w:val="24"/>
        </w:rPr>
      </w:pPr>
      <w:r w:rsidRPr="00384D1D">
        <w:rPr>
          <w:rFonts w:ascii="Garamond" w:hAnsi="Garamond" w:cs="Tahoma"/>
          <w:sz w:val="24"/>
          <w:szCs w:val="24"/>
        </w:rPr>
        <w:t xml:space="preserve">The Addis Agenda </w:t>
      </w:r>
      <w:r>
        <w:rPr>
          <w:rFonts w:ascii="Garamond" w:hAnsi="Garamond" w:cs="Tahoma"/>
          <w:sz w:val="24"/>
          <w:szCs w:val="24"/>
        </w:rPr>
        <w:t xml:space="preserve">also </w:t>
      </w:r>
      <w:r w:rsidRPr="00384D1D">
        <w:rPr>
          <w:rFonts w:ascii="Garamond" w:hAnsi="Garamond" w:cs="Tahoma"/>
          <w:sz w:val="24"/>
          <w:szCs w:val="24"/>
        </w:rPr>
        <w:t>includes several new commitments</w:t>
      </w:r>
      <w:r>
        <w:rPr>
          <w:rFonts w:ascii="Garamond" w:hAnsi="Garamond" w:cs="Tahoma"/>
          <w:sz w:val="24"/>
          <w:szCs w:val="24"/>
        </w:rPr>
        <w:t xml:space="preserve"> and initiatives</w:t>
      </w:r>
      <w:r w:rsidRPr="00384D1D">
        <w:rPr>
          <w:rFonts w:ascii="Garamond" w:hAnsi="Garamond" w:cs="Tahoma"/>
          <w:sz w:val="24"/>
          <w:szCs w:val="24"/>
        </w:rPr>
        <w:t xml:space="preserve"> </w:t>
      </w:r>
      <w:r>
        <w:rPr>
          <w:rFonts w:ascii="Garamond" w:hAnsi="Garamond" w:cs="Tahoma"/>
          <w:sz w:val="24"/>
          <w:szCs w:val="24"/>
        </w:rPr>
        <w:t>including</w:t>
      </w:r>
      <w:r w:rsidRPr="00203BC0">
        <w:t xml:space="preserve"> </w:t>
      </w:r>
      <w:r>
        <w:t>(</w:t>
      </w:r>
      <w:r w:rsidRPr="00203BC0">
        <w:rPr>
          <w:rFonts w:ascii="Garamond" w:hAnsi="Garamond" w:cs="Tahoma"/>
          <w:sz w:val="24"/>
          <w:szCs w:val="24"/>
        </w:rPr>
        <w:t>U</w:t>
      </w:r>
      <w:r>
        <w:rPr>
          <w:rFonts w:ascii="Garamond" w:hAnsi="Garamond" w:cs="Tahoma"/>
          <w:sz w:val="24"/>
          <w:szCs w:val="24"/>
        </w:rPr>
        <w:t>N, 2015):</w:t>
      </w:r>
    </w:p>
    <w:p w:rsidR="00A30924" w:rsidRPr="00875564" w:rsidRDefault="00A30924" w:rsidP="00F82810">
      <w:pPr>
        <w:pStyle w:val="ListParagraph"/>
        <w:numPr>
          <w:ilvl w:val="0"/>
          <w:numId w:val="19"/>
        </w:numPr>
        <w:spacing w:after="0" w:line="240" w:lineRule="auto"/>
        <w:jc w:val="both"/>
        <w:rPr>
          <w:rFonts w:ascii="Garamond" w:hAnsi="Garamond" w:cs="Tahoma"/>
          <w:sz w:val="24"/>
          <w:szCs w:val="24"/>
        </w:rPr>
      </w:pPr>
      <w:r w:rsidRPr="00875564">
        <w:rPr>
          <w:rFonts w:ascii="Garamond" w:hAnsi="Garamond" w:cs="Tahoma"/>
          <w:sz w:val="24"/>
          <w:szCs w:val="24"/>
        </w:rPr>
        <w:t>A new social compact to provide social protection and essential public services for all</w:t>
      </w:r>
      <w:r>
        <w:rPr>
          <w:rFonts w:ascii="Garamond" w:hAnsi="Garamond" w:cs="Tahoma"/>
          <w:sz w:val="24"/>
          <w:szCs w:val="24"/>
        </w:rPr>
        <w:t>,</w:t>
      </w:r>
    </w:p>
    <w:p w:rsidR="00A30924" w:rsidRPr="00875564" w:rsidRDefault="00A30924" w:rsidP="00F82810">
      <w:pPr>
        <w:pStyle w:val="ListParagraph"/>
        <w:numPr>
          <w:ilvl w:val="0"/>
          <w:numId w:val="19"/>
        </w:numPr>
        <w:spacing w:after="0" w:line="240" w:lineRule="auto"/>
        <w:jc w:val="both"/>
        <w:rPr>
          <w:rFonts w:ascii="Garamond" w:hAnsi="Garamond" w:cs="Tahoma"/>
          <w:sz w:val="24"/>
          <w:szCs w:val="24"/>
        </w:rPr>
      </w:pPr>
      <w:r w:rsidRPr="00875564">
        <w:rPr>
          <w:rFonts w:ascii="Garamond" w:hAnsi="Garamond" w:cs="Tahoma"/>
          <w:sz w:val="24"/>
          <w:szCs w:val="24"/>
        </w:rPr>
        <w:t>A global infrastructure forum to bridge the infrastructure gap</w:t>
      </w:r>
      <w:r>
        <w:rPr>
          <w:rFonts w:ascii="Garamond" w:hAnsi="Garamond" w:cs="Tahoma"/>
          <w:sz w:val="24"/>
          <w:szCs w:val="24"/>
        </w:rPr>
        <w:t>,</w:t>
      </w:r>
      <w:r w:rsidRPr="00875564">
        <w:rPr>
          <w:rFonts w:ascii="Garamond" w:hAnsi="Garamond" w:cs="Tahoma"/>
          <w:sz w:val="24"/>
          <w:szCs w:val="24"/>
        </w:rPr>
        <w:t xml:space="preserve">   </w:t>
      </w:r>
    </w:p>
    <w:p w:rsidR="00A30924" w:rsidRPr="00875564" w:rsidRDefault="00A30924" w:rsidP="00F82810">
      <w:pPr>
        <w:pStyle w:val="ListParagraph"/>
        <w:numPr>
          <w:ilvl w:val="0"/>
          <w:numId w:val="19"/>
        </w:numPr>
        <w:spacing w:after="0" w:line="240" w:lineRule="auto"/>
        <w:jc w:val="both"/>
        <w:rPr>
          <w:rFonts w:ascii="Garamond" w:hAnsi="Garamond" w:cs="Tahoma"/>
          <w:sz w:val="24"/>
          <w:szCs w:val="24"/>
        </w:rPr>
      </w:pPr>
      <w:r w:rsidRPr="00875564">
        <w:rPr>
          <w:rFonts w:ascii="Garamond" w:hAnsi="Garamond" w:cs="Tahoma"/>
          <w:sz w:val="24"/>
          <w:szCs w:val="24"/>
        </w:rPr>
        <w:t>An ‘LDC package’ to support the poorest countries</w:t>
      </w:r>
      <w:r>
        <w:rPr>
          <w:rFonts w:ascii="Garamond" w:hAnsi="Garamond" w:cs="Tahoma"/>
          <w:sz w:val="24"/>
          <w:szCs w:val="24"/>
        </w:rPr>
        <w:t>,</w:t>
      </w:r>
    </w:p>
    <w:p w:rsidR="00A30924" w:rsidRPr="00875564" w:rsidRDefault="00A30924" w:rsidP="00F82810">
      <w:pPr>
        <w:pStyle w:val="ListParagraph"/>
        <w:numPr>
          <w:ilvl w:val="0"/>
          <w:numId w:val="19"/>
        </w:numPr>
        <w:spacing w:after="0" w:line="240" w:lineRule="auto"/>
        <w:jc w:val="both"/>
        <w:rPr>
          <w:rFonts w:ascii="Garamond" w:hAnsi="Garamond" w:cs="Tahoma"/>
          <w:sz w:val="24"/>
          <w:szCs w:val="24"/>
        </w:rPr>
      </w:pPr>
      <w:r w:rsidRPr="00875564">
        <w:rPr>
          <w:rFonts w:ascii="Garamond" w:hAnsi="Garamond" w:cs="Tahoma"/>
          <w:sz w:val="24"/>
          <w:szCs w:val="24"/>
        </w:rPr>
        <w:t>A Technology Facilitation Mechanism to advance to the SDGs</w:t>
      </w:r>
      <w:r>
        <w:rPr>
          <w:rFonts w:ascii="Garamond" w:hAnsi="Garamond" w:cs="Tahoma"/>
          <w:sz w:val="24"/>
          <w:szCs w:val="24"/>
        </w:rPr>
        <w:t>,</w:t>
      </w:r>
      <w:r w:rsidRPr="00875564">
        <w:rPr>
          <w:rFonts w:ascii="Garamond" w:hAnsi="Garamond" w:cs="Tahoma"/>
          <w:sz w:val="24"/>
          <w:szCs w:val="24"/>
        </w:rPr>
        <w:t xml:space="preserve">  </w:t>
      </w:r>
    </w:p>
    <w:p w:rsidR="00A30924" w:rsidRPr="00875564" w:rsidRDefault="00A30924" w:rsidP="00F82810">
      <w:pPr>
        <w:pStyle w:val="ListParagraph"/>
        <w:numPr>
          <w:ilvl w:val="0"/>
          <w:numId w:val="19"/>
        </w:numPr>
        <w:spacing w:after="0" w:line="240" w:lineRule="auto"/>
        <w:jc w:val="both"/>
        <w:rPr>
          <w:rFonts w:ascii="Garamond" w:hAnsi="Garamond" w:cs="Tahoma"/>
          <w:sz w:val="24"/>
          <w:szCs w:val="24"/>
        </w:rPr>
      </w:pPr>
      <w:r w:rsidRPr="00875564">
        <w:rPr>
          <w:rFonts w:ascii="Garamond" w:hAnsi="Garamond" w:cs="Tahoma"/>
          <w:sz w:val="24"/>
          <w:szCs w:val="24"/>
        </w:rPr>
        <w:t>Enhanced international tax cooperation to assist in raising resources domestically</w:t>
      </w:r>
      <w:r>
        <w:rPr>
          <w:rFonts w:ascii="Garamond" w:hAnsi="Garamond" w:cs="Tahoma"/>
          <w:sz w:val="24"/>
          <w:szCs w:val="24"/>
        </w:rPr>
        <w:t xml:space="preserve">, and </w:t>
      </w:r>
    </w:p>
    <w:p w:rsidR="00A30924" w:rsidRPr="00875564" w:rsidRDefault="00A30924" w:rsidP="00F82810">
      <w:pPr>
        <w:pStyle w:val="ListParagraph"/>
        <w:numPr>
          <w:ilvl w:val="0"/>
          <w:numId w:val="19"/>
        </w:numPr>
        <w:spacing w:after="0" w:line="240" w:lineRule="auto"/>
        <w:jc w:val="both"/>
        <w:rPr>
          <w:rFonts w:ascii="Garamond" w:hAnsi="Garamond" w:cs="Tahoma"/>
          <w:sz w:val="24"/>
          <w:szCs w:val="24"/>
        </w:rPr>
      </w:pPr>
      <w:r w:rsidRPr="00875564">
        <w:rPr>
          <w:rFonts w:ascii="Garamond" w:hAnsi="Garamond" w:cs="Tahoma"/>
          <w:sz w:val="24"/>
          <w:szCs w:val="24"/>
        </w:rPr>
        <w:t xml:space="preserve">Mainstreaming women’s empowerment into financing for development  </w:t>
      </w:r>
    </w:p>
    <w:p w:rsidR="00A30924" w:rsidRDefault="00A30924" w:rsidP="00C26A15">
      <w:pPr>
        <w:spacing w:after="0" w:line="240" w:lineRule="auto"/>
        <w:jc w:val="both"/>
        <w:rPr>
          <w:rFonts w:ascii="Garamond" w:hAnsi="Garamond" w:cs="Tahoma"/>
          <w:sz w:val="24"/>
          <w:szCs w:val="24"/>
        </w:rPr>
      </w:pPr>
    </w:p>
    <w:p w:rsidR="00A30924" w:rsidRDefault="00A30924" w:rsidP="00C26A15">
      <w:pPr>
        <w:spacing w:after="0" w:line="240" w:lineRule="auto"/>
        <w:jc w:val="both"/>
        <w:rPr>
          <w:rFonts w:ascii="Garamond" w:hAnsi="Garamond" w:cs="Tahoma"/>
          <w:sz w:val="24"/>
          <w:szCs w:val="24"/>
        </w:rPr>
      </w:pPr>
      <w:r w:rsidRPr="00227BFC">
        <w:rPr>
          <w:rFonts w:ascii="Garamond" w:hAnsi="Garamond" w:cs="Tahoma"/>
          <w:sz w:val="24"/>
          <w:szCs w:val="24"/>
        </w:rPr>
        <w:t xml:space="preserve">Overall, </w:t>
      </w:r>
      <w:r>
        <w:rPr>
          <w:rFonts w:ascii="Garamond" w:hAnsi="Garamond" w:cs="Tahoma"/>
          <w:sz w:val="24"/>
          <w:szCs w:val="24"/>
        </w:rPr>
        <w:t>t</w:t>
      </w:r>
      <w:r w:rsidRPr="00227BFC">
        <w:rPr>
          <w:rFonts w:ascii="Garamond" w:hAnsi="Garamond" w:cs="Tahoma"/>
          <w:sz w:val="24"/>
          <w:szCs w:val="24"/>
        </w:rPr>
        <w:t>he Addis Agenda</w:t>
      </w:r>
      <w:r>
        <w:rPr>
          <w:rFonts w:ascii="Garamond" w:hAnsi="Garamond" w:cs="Tahoma"/>
          <w:sz w:val="24"/>
          <w:szCs w:val="24"/>
        </w:rPr>
        <w:t xml:space="preserve"> provides guidance on t</w:t>
      </w:r>
      <w:r w:rsidR="005E08BC">
        <w:rPr>
          <w:rFonts w:ascii="Garamond" w:hAnsi="Garamond" w:cs="Tahoma"/>
          <w:sz w:val="24"/>
          <w:szCs w:val="24"/>
        </w:rPr>
        <w:t xml:space="preserve">hree </w:t>
      </w:r>
      <w:r>
        <w:rPr>
          <w:rFonts w:ascii="Garamond" w:hAnsi="Garamond" w:cs="Tahoma"/>
          <w:sz w:val="24"/>
          <w:szCs w:val="24"/>
        </w:rPr>
        <w:t>major areas. First, it provides a</w:t>
      </w:r>
      <w:r w:rsidRPr="00227BFC">
        <w:rPr>
          <w:rFonts w:ascii="Garamond" w:hAnsi="Garamond" w:cs="Tahoma"/>
          <w:sz w:val="24"/>
          <w:szCs w:val="24"/>
        </w:rPr>
        <w:t xml:space="preserve"> comprehensive set of policy actions by Member States, with a package of concrete measures to finance sustainable development, transform the global economy and achieve </w:t>
      </w:r>
      <w:r>
        <w:rPr>
          <w:rFonts w:ascii="Garamond" w:hAnsi="Garamond" w:cs="Tahoma"/>
          <w:sz w:val="24"/>
          <w:szCs w:val="24"/>
        </w:rPr>
        <w:t xml:space="preserve">sustainable </w:t>
      </w:r>
      <w:r>
        <w:rPr>
          <w:rFonts w:ascii="Garamond" w:hAnsi="Garamond" w:cs="Tahoma"/>
          <w:sz w:val="24"/>
          <w:szCs w:val="24"/>
        </w:rPr>
        <w:lastRenderedPageBreak/>
        <w:t>development</w:t>
      </w:r>
      <w:r w:rsidR="00DD624A">
        <w:rPr>
          <w:rFonts w:ascii="Garamond" w:hAnsi="Garamond" w:cs="Tahoma"/>
          <w:sz w:val="24"/>
          <w:szCs w:val="24"/>
        </w:rPr>
        <w:t xml:space="preserve"> goals</w:t>
      </w:r>
      <w:r w:rsidRPr="00227BFC">
        <w:rPr>
          <w:rFonts w:ascii="Garamond" w:hAnsi="Garamond" w:cs="Tahoma"/>
          <w:sz w:val="24"/>
          <w:szCs w:val="24"/>
        </w:rPr>
        <w:t xml:space="preserve">. </w:t>
      </w:r>
      <w:r>
        <w:rPr>
          <w:rFonts w:ascii="Garamond" w:hAnsi="Garamond" w:cs="Tahoma"/>
          <w:sz w:val="24"/>
          <w:szCs w:val="24"/>
        </w:rPr>
        <w:t>Second, it serves as a</w:t>
      </w:r>
      <w:r w:rsidRPr="00227BFC">
        <w:rPr>
          <w:rFonts w:ascii="Garamond" w:hAnsi="Garamond" w:cs="Tahoma"/>
          <w:sz w:val="24"/>
          <w:szCs w:val="24"/>
        </w:rPr>
        <w:t xml:space="preserve"> new global framework for financing sustainable development that aligns all financing flows and policies with economic, social and environmental priorities and ensures that financing is stable and sustainable.</w:t>
      </w:r>
      <w:r w:rsidR="005E08BC">
        <w:rPr>
          <w:rFonts w:ascii="Garamond" w:hAnsi="Garamond" w:cs="Tahoma"/>
          <w:sz w:val="24"/>
          <w:szCs w:val="24"/>
        </w:rPr>
        <w:t xml:space="preserve"> Third, unlike previous declarations, the Addis Agenda contains provisions for supporting Least Developed Countries (LDCs). </w:t>
      </w:r>
    </w:p>
    <w:p w:rsidR="00C26A15" w:rsidRDefault="00C26A15">
      <w:pPr>
        <w:spacing w:after="160" w:line="259" w:lineRule="auto"/>
        <w:rPr>
          <w:rFonts w:ascii="Garamond" w:hAnsi="Garamond"/>
          <w:sz w:val="24"/>
          <w:szCs w:val="24"/>
        </w:rPr>
      </w:pPr>
      <w:r>
        <w:rPr>
          <w:rFonts w:ascii="Garamond" w:hAnsi="Garamond"/>
          <w:sz w:val="24"/>
          <w:szCs w:val="24"/>
        </w:rPr>
        <w:br w:type="page"/>
      </w:r>
    </w:p>
    <w:p w:rsidR="00B76720" w:rsidRPr="00EE223B" w:rsidRDefault="007F57F8" w:rsidP="00C26A15">
      <w:pPr>
        <w:pStyle w:val="Heading1"/>
        <w:spacing w:before="0" w:line="240" w:lineRule="auto"/>
        <w:jc w:val="center"/>
        <w:rPr>
          <w:rFonts w:ascii="Garamond" w:hAnsi="Garamond"/>
          <w:b/>
          <w:sz w:val="24"/>
          <w:szCs w:val="24"/>
        </w:rPr>
      </w:pPr>
      <w:bookmarkStart w:id="23" w:name="_Toc486782255"/>
      <w:r>
        <w:rPr>
          <w:rFonts w:ascii="Garamond" w:hAnsi="Garamond"/>
          <w:b/>
          <w:sz w:val="24"/>
          <w:szCs w:val="24"/>
        </w:rPr>
        <w:lastRenderedPageBreak/>
        <w:t>3</w:t>
      </w:r>
      <w:r w:rsidR="00EE223B">
        <w:rPr>
          <w:rFonts w:ascii="Garamond" w:hAnsi="Garamond"/>
          <w:b/>
          <w:sz w:val="24"/>
          <w:szCs w:val="24"/>
        </w:rPr>
        <w:t xml:space="preserve">. </w:t>
      </w:r>
      <w:r w:rsidR="00A1137C">
        <w:rPr>
          <w:rFonts w:ascii="Garamond" w:hAnsi="Garamond"/>
          <w:b/>
          <w:sz w:val="24"/>
          <w:szCs w:val="24"/>
        </w:rPr>
        <w:t>D</w:t>
      </w:r>
      <w:r w:rsidR="00B76720" w:rsidRPr="00EE223B">
        <w:rPr>
          <w:rFonts w:ascii="Garamond" w:hAnsi="Garamond"/>
          <w:b/>
          <w:sz w:val="24"/>
          <w:szCs w:val="24"/>
        </w:rPr>
        <w:t>evelopment policies, strategies and plans and sustainable development</w:t>
      </w:r>
      <w:r w:rsidR="008E3D67" w:rsidRPr="00EE223B">
        <w:rPr>
          <w:rFonts w:ascii="Garamond" w:hAnsi="Garamond"/>
          <w:b/>
          <w:sz w:val="24"/>
          <w:szCs w:val="24"/>
        </w:rPr>
        <w:t xml:space="preserve"> frameworks</w:t>
      </w:r>
      <w:bookmarkEnd w:id="23"/>
    </w:p>
    <w:p w:rsidR="00B76720" w:rsidRDefault="00B76720" w:rsidP="00C26A15">
      <w:pPr>
        <w:pStyle w:val="Default"/>
        <w:jc w:val="both"/>
        <w:rPr>
          <w:rFonts w:ascii="Garamond" w:hAnsi="Garamond"/>
          <w:lang w:val="en-GB"/>
        </w:rPr>
      </w:pPr>
    </w:p>
    <w:p w:rsidR="00B76720" w:rsidRDefault="00B76720" w:rsidP="00C26A15">
      <w:pPr>
        <w:pStyle w:val="Default"/>
        <w:jc w:val="both"/>
        <w:rPr>
          <w:rFonts w:ascii="Garamond" w:hAnsi="Garamond"/>
          <w:lang w:val="en-GB"/>
        </w:rPr>
      </w:pPr>
      <w:r w:rsidRPr="00A25932">
        <w:rPr>
          <w:rFonts w:ascii="Garamond" w:hAnsi="Garamond"/>
          <w:lang w:val="en-GB"/>
        </w:rPr>
        <w:t xml:space="preserve">This section provides pertinent analytical information on </w:t>
      </w:r>
      <w:r>
        <w:rPr>
          <w:rFonts w:ascii="Garamond" w:hAnsi="Garamond"/>
          <w:lang w:val="en-GB"/>
        </w:rPr>
        <w:t xml:space="preserve">national and international development policies, strategies and plans. </w:t>
      </w:r>
      <w:r w:rsidRPr="00A25932">
        <w:rPr>
          <w:rFonts w:ascii="Garamond" w:hAnsi="Garamond"/>
          <w:lang w:val="en-GB"/>
        </w:rPr>
        <w:t xml:space="preserve">First, </w:t>
      </w:r>
      <w:r>
        <w:rPr>
          <w:rFonts w:ascii="Garamond" w:hAnsi="Garamond"/>
          <w:lang w:val="en-GB"/>
        </w:rPr>
        <w:t>i</w:t>
      </w:r>
      <w:r w:rsidRPr="00405647">
        <w:rPr>
          <w:rFonts w:ascii="Garamond" w:hAnsi="Garamond"/>
          <w:lang w:val="en-GB"/>
        </w:rPr>
        <w:t>t look</w:t>
      </w:r>
      <w:r w:rsidR="00B074C9">
        <w:rPr>
          <w:rFonts w:ascii="Garamond" w:hAnsi="Garamond"/>
          <w:lang w:val="en-GB"/>
        </w:rPr>
        <w:t>s</w:t>
      </w:r>
      <w:r w:rsidRPr="00405647">
        <w:rPr>
          <w:rFonts w:ascii="Garamond" w:hAnsi="Garamond"/>
          <w:lang w:val="en-GB"/>
        </w:rPr>
        <w:t xml:space="preserve"> at </w:t>
      </w:r>
      <w:r>
        <w:rPr>
          <w:rFonts w:ascii="Garamond" w:hAnsi="Garamond"/>
          <w:lang w:val="en-GB"/>
        </w:rPr>
        <w:t>the global and regional development perspectives in the context of sustainable development, with a focus on current frameworks such SDGs and Agenda 2063. The second part review</w:t>
      </w:r>
      <w:r w:rsidR="00B074C9">
        <w:rPr>
          <w:rFonts w:ascii="Garamond" w:hAnsi="Garamond"/>
          <w:lang w:val="en-GB"/>
        </w:rPr>
        <w:t>s</w:t>
      </w:r>
      <w:r>
        <w:rPr>
          <w:rFonts w:ascii="Garamond" w:hAnsi="Garamond"/>
          <w:lang w:val="en-GB"/>
        </w:rPr>
        <w:t xml:space="preserve"> the national context in terms of policies, strategies and plans. This </w:t>
      </w:r>
      <w:r w:rsidR="00B074C9">
        <w:rPr>
          <w:rFonts w:ascii="Garamond" w:hAnsi="Garamond"/>
          <w:lang w:val="en-GB"/>
        </w:rPr>
        <w:t>is</w:t>
      </w:r>
      <w:r>
        <w:rPr>
          <w:rFonts w:ascii="Garamond" w:hAnsi="Garamond"/>
          <w:lang w:val="en-GB"/>
        </w:rPr>
        <w:t xml:space="preserve"> followed by assessing the linkage between SDGs and national development plans (i.e. GTP-II). </w:t>
      </w:r>
    </w:p>
    <w:p w:rsidR="00384D87" w:rsidRDefault="00384D87" w:rsidP="00C26A15">
      <w:pPr>
        <w:pStyle w:val="Default"/>
        <w:jc w:val="both"/>
        <w:rPr>
          <w:rFonts w:ascii="Garamond" w:hAnsi="Garamond"/>
          <w:lang w:val="en-GB"/>
        </w:rPr>
      </w:pPr>
    </w:p>
    <w:p w:rsidR="00B76720" w:rsidRPr="001216D8" w:rsidRDefault="007F57F8" w:rsidP="00C26A15">
      <w:pPr>
        <w:pStyle w:val="Heading2"/>
        <w:spacing w:before="0" w:line="240" w:lineRule="auto"/>
        <w:rPr>
          <w:rFonts w:ascii="Garamond" w:eastAsia="Arial Unicode MS" w:hAnsi="Garamond"/>
          <w:b/>
          <w:sz w:val="24"/>
          <w:szCs w:val="24"/>
        </w:rPr>
      </w:pPr>
      <w:bookmarkStart w:id="24" w:name="_Toc486782256"/>
      <w:r>
        <w:rPr>
          <w:rFonts w:ascii="Garamond" w:eastAsia="Arial Unicode MS" w:hAnsi="Garamond"/>
          <w:b/>
          <w:sz w:val="24"/>
          <w:szCs w:val="24"/>
        </w:rPr>
        <w:t>3</w:t>
      </w:r>
      <w:r w:rsidR="001216D8" w:rsidRPr="001216D8">
        <w:rPr>
          <w:rFonts w:ascii="Garamond" w:eastAsia="Arial Unicode MS" w:hAnsi="Garamond"/>
          <w:b/>
          <w:sz w:val="24"/>
          <w:szCs w:val="24"/>
        </w:rPr>
        <w:t xml:space="preserve">.1 </w:t>
      </w:r>
      <w:r w:rsidR="00B76720" w:rsidRPr="001216D8">
        <w:rPr>
          <w:rFonts w:ascii="Garamond" w:eastAsia="Arial Unicode MS" w:hAnsi="Garamond"/>
          <w:b/>
          <w:sz w:val="24"/>
          <w:szCs w:val="24"/>
        </w:rPr>
        <w:t>Review international policies and strategies and initiatives/programs</w:t>
      </w:r>
      <w:bookmarkEnd w:id="24"/>
      <w:r w:rsidR="00B76720" w:rsidRPr="001216D8">
        <w:rPr>
          <w:rFonts w:ascii="Garamond" w:eastAsia="Arial Unicode MS" w:hAnsi="Garamond"/>
          <w:b/>
          <w:sz w:val="24"/>
          <w:szCs w:val="24"/>
        </w:rPr>
        <w:t xml:space="preserve"> </w:t>
      </w:r>
    </w:p>
    <w:p w:rsidR="00E369A1" w:rsidRDefault="00E369A1" w:rsidP="00C26A15">
      <w:pPr>
        <w:pStyle w:val="Heading3"/>
        <w:spacing w:before="0" w:line="240" w:lineRule="auto"/>
        <w:rPr>
          <w:rFonts w:ascii="Garamond" w:hAnsi="Garamond"/>
          <w:b/>
        </w:rPr>
      </w:pPr>
    </w:p>
    <w:p w:rsidR="001216D8" w:rsidRPr="00C633A9" w:rsidRDefault="007F57F8" w:rsidP="00C26A15">
      <w:pPr>
        <w:pStyle w:val="Heading3"/>
        <w:spacing w:before="0" w:line="240" w:lineRule="auto"/>
        <w:rPr>
          <w:rFonts w:ascii="Garamond" w:hAnsi="Garamond"/>
          <w:b/>
        </w:rPr>
      </w:pPr>
      <w:bookmarkStart w:id="25" w:name="_Toc486782257"/>
      <w:r>
        <w:rPr>
          <w:rFonts w:ascii="Garamond" w:hAnsi="Garamond"/>
          <w:b/>
        </w:rPr>
        <w:t>3</w:t>
      </w:r>
      <w:r w:rsidR="001216D8">
        <w:rPr>
          <w:rFonts w:ascii="Garamond" w:hAnsi="Garamond"/>
          <w:b/>
        </w:rPr>
        <w:t xml:space="preserve">.1.1 </w:t>
      </w:r>
      <w:r w:rsidR="00B76720" w:rsidRPr="001216D8">
        <w:rPr>
          <w:rFonts w:ascii="Garamond" w:hAnsi="Garamond"/>
          <w:b/>
        </w:rPr>
        <w:t>Global sustainable development frameworks</w:t>
      </w:r>
      <w:r w:rsidR="001216D8">
        <w:rPr>
          <w:rFonts w:ascii="Garamond" w:hAnsi="Garamond"/>
          <w:b/>
        </w:rPr>
        <w:t>:</w:t>
      </w:r>
      <w:r w:rsidR="001216D8" w:rsidRPr="00C633A9">
        <w:rPr>
          <w:rFonts w:ascii="Garamond" w:hAnsi="Garamond"/>
          <w:b/>
        </w:rPr>
        <w:t xml:space="preserve"> </w:t>
      </w:r>
      <w:r w:rsidR="0043143C">
        <w:rPr>
          <w:rFonts w:ascii="Garamond" w:hAnsi="Garamond"/>
          <w:b/>
        </w:rPr>
        <w:t xml:space="preserve">The </w:t>
      </w:r>
      <w:r w:rsidR="001216D8" w:rsidRPr="00C633A9">
        <w:rPr>
          <w:rFonts w:ascii="Garamond" w:hAnsi="Garamond"/>
          <w:b/>
        </w:rPr>
        <w:t>2030</w:t>
      </w:r>
      <w:r w:rsidR="0043143C" w:rsidRPr="0043143C">
        <w:rPr>
          <w:rFonts w:ascii="Garamond" w:hAnsi="Garamond"/>
          <w:b/>
        </w:rPr>
        <w:t xml:space="preserve"> </w:t>
      </w:r>
      <w:r w:rsidR="0043143C" w:rsidRPr="00C633A9">
        <w:rPr>
          <w:rFonts w:ascii="Garamond" w:hAnsi="Garamond"/>
          <w:b/>
        </w:rPr>
        <w:t>Agenda</w:t>
      </w:r>
      <w:bookmarkEnd w:id="25"/>
    </w:p>
    <w:p w:rsidR="001216D8" w:rsidRPr="00E16DB6" w:rsidRDefault="001216D8" w:rsidP="00C26A15">
      <w:pPr>
        <w:pStyle w:val="Heading3"/>
        <w:spacing w:before="0" w:line="240" w:lineRule="auto"/>
        <w:rPr>
          <w:rFonts w:ascii="Garamond" w:hAnsi="Garamond"/>
          <w:b/>
        </w:rPr>
      </w:pPr>
    </w:p>
    <w:p w:rsidR="001216D8" w:rsidRPr="00E16DB6" w:rsidRDefault="001216D8" w:rsidP="00C26A15">
      <w:pPr>
        <w:autoSpaceDE w:val="0"/>
        <w:autoSpaceDN w:val="0"/>
        <w:adjustRightInd w:val="0"/>
        <w:spacing w:after="0" w:line="240" w:lineRule="auto"/>
        <w:jc w:val="both"/>
        <w:rPr>
          <w:rFonts w:ascii="Garamond" w:hAnsi="Garamond" w:cs="CenturyGothic"/>
          <w:color w:val="000000"/>
          <w:sz w:val="24"/>
          <w:szCs w:val="24"/>
        </w:rPr>
      </w:pPr>
      <w:r w:rsidRPr="00E16DB6">
        <w:rPr>
          <w:rFonts w:ascii="Garamond" w:hAnsi="Garamond" w:cs="CenturyGothic"/>
          <w:color w:val="000000"/>
          <w:sz w:val="24"/>
          <w:szCs w:val="24"/>
        </w:rPr>
        <w:t>Although the transition from MDGs to SDGs needs to address particular opportunities and challenges of different national and local contexts, a number of key characteristics of sustainable development can be identified (GEC, 2012; OECD, 2012): economic growth, environment sustainability and social development. Despite some achievements under MDGs, significant challenges remain. The key lesson under MDGs is that there is a need to look beyond narrow economic and social measures of progress to consider all aspects of well-being and sustainable development.</w:t>
      </w:r>
    </w:p>
    <w:p w:rsidR="001216D8" w:rsidRPr="00E16DB6" w:rsidRDefault="001216D8" w:rsidP="00C26A15">
      <w:pPr>
        <w:autoSpaceDE w:val="0"/>
        <w:autoSpaceDN w:val="0"/>
        <w:adjustRightInd w:val="0"/>
        <w:spacing w:after="0" w:line="240" w:lineRule="auto"/>
        <w:jc w:val="both"/>
        <w:rPr>
          <w:rFonts w:ascii="Garamond" w:hAnsi="Garamond"/>
          <w:sz w:val="24"/>
          <w:szCs w:val="24"/>
        </w:rPr>
      </w:pPr>
    </w:p>
    <w:p w:rsidR="001216D8" w:rsidRDefault="001216D8" w:rsidP="00C26A15">
      <w:pPr>
        <w:spacing w:after="0" w:line="240" w:lineRule="auto"/>
        <w:jc w:val="both"/>
        <w:rPr>
          <w:rFonts w:ascii="Garamond" w:hAnsi="Garamond"/>
          <w:sz w:val="24"/>
          <w:szCs w:val="24"/>
        </w:rPr>
      </w:pPr>
      <w:r w:rsidRPr="00E16DB6">
        <w:rPr>
          <w:rFonts w:ascii="Garamond" w:hAnsi="Garamond"/>
          <w:sz w:val="24"/>
          <w:szCs w:val="24"/>
        </w:rPr>
        <w:t xml:space="preserve">On September 25, 2015, world leaders gathered in New York </w:t>
      </w:r>
      <w:r w:rsidR="00DD624A">
        <w:rPr>
          <w:rFonts w:ascii="Garamond" w:hAnsi="Garamond"/>
          <w:sz w:val="24"/>
          <w:szCs w:val="24"/>
        </w:rPr>
        <w:t xml:space="preserve">and </w:t>
      </w:r>
      <w:r w:rsidRPr="00E16DB6">
        <w:rPr>
          <w:rFonts w:ascii="Garamond" w:hAnsi="Garamond"/>
          <w:sz w:val="24"/>
          <w:szCs w:val="24"/>
        </w:rPr>
        <w:t>adopt</w:t>
      </w:r>
      <w:r w:rsidR="00DD624A">
        <w:rPr>
          <w:rFonts w:ascii="Garamond" w:hAnsi="Garamond"/>
          <w:sz w:val="24"/>
          <w:szCs w:val="24"/>
        </w:rPr>
        <w:t>ed</w:t>
      </w:r>
      <w:r w:rsidRPr="00E16DB6">
        <w:rPr>
          <w:rFonts w:ascii="Garamond" w:hAnsi="Garamond"/>
          <w:sz w:val="24"/>
          <w:szCs w:val="24"/>
        </w:rPr>
        <w:t xml:space="preserve"> the Sustainable Development Goals (SDGs), which is a universal and transformative global development agenda (or </w:t>
      </w:r>
      <w:r w:rsidR="0043143C">
        <w:rPr>
          <w:rFonts w:ascii="Garamond" w:hAnsi="Garamond"/>
          <w:sz w:val="24"/>
          <w:szCs w:val="24"/>
        </w:rPr>
        <w:t xml:space="preserve">the </w:t>
      </w:r>
      <w:r w:rsidRPr="00E16DB6">
        <w:rPr>
          <w:rFonts w:ascii="Garamond" w:hAnsi="Garamond"/>
          <w:sz w:val="24"/>
          <w:szCs w:val="24"/>
        </w:rPr>
        <w:t>2030</w:t>
      </w:r>
      <w:r w:rsidR="0043143C" w:rsidRPr="0043143C">
        <w:rPr>
          <w:rFonts w:ascii="Garamond" w:hAnsi="Garamond"/>
          <w:sz w:val="24"/>
          <w:szCs w:val="24"/>
        </w:rPr>
        <w:t xml:space="preserve"> </w:t>
      </w:r>
      <w:r w:rsidR="0043143C" w:rsidRPr="00E16DB6">
        <w:rPr>
          <w:rFonts w:ascii="Garamond" w:hAnsi="Garamond"/>
          <w:sz w:val="24"/>
          <w:szCs w:val="24"/>
        </w:rPr>
        <w:t>Agenda</w:t>
      </w:r>
      <w:r w:rsidRPr="00E16DB6">
        <w:rPr>
          <w:rFonts w:ascii="Garamond" w:hAnsi="Garamond"/>
          <w:sz w:val="24"/>
          <w:szCs w:val="24"/>
        </w:rPr>
        <w:t>). The Sustainable Development Goals (SDGs) that succeeded the Millennium Development Goals (MDGs</w:t>
      </w:r>
      <w:r w:rsidR="00E756D0">
        <w:rPr>
          <w:rFonts w:ascii="Garamond" w:hAnsi="Garamond"/>
          <w:sz w:val="24"/>
          <w:szCs w:val="24"/>
        </w:rPr>
        <w:t xml:space="preserve">) are integrated and </w:t>
      </w:r>
      <w:r w:rsidRPr="00E16DB6">
        <w:rPr>
          <w:rFonts w:ascii="Garamond" w:hAnsi="Garamond"/>
          <w:sz w:val="24"/>
          <w:szCs w:val="24"/>
        </w:rPr>
        <w:t xml:space="preserve">indivisible set of global priorities that incorporate economic, social and environmental aspects and </w:t>
      </w:r>
      <w:r w:rsidR="0043143C" w:rsidRPr="00E16DB6">
        <w:rPr>
          <w:rFonts w:ascii="Garamond" w:hAnsi="Garamond"/>
          <w:sz w:val="24"/>
          <w:szCs w:val="24"/>
        </w:rPr>
        <w:t>recognize</w:t>
      </w:r>
      <w:r w:rsidRPr="00E16DB6">
        <w:rPr>
          <w:rFonts w:ascii="Garamond" w:hAnsi="Garamond"/>
          <w:sz w:val="24"/>
          <w:szCs w:val="24"/>
        </w:rPr>
        <w:t xml:space="preserve"> their inter-linkages in achieving sustainable development (United Nations Development Group</w:t>
      </w:r>
      <w:r w:rsidRPr="00E16DB6">
        <w:rPr>
          <w:rFonts w:ascii="Garamond" w:hAnsi="Garamond"/>
          <w:bCs/>
          <w:sz w:val="24"/>
          <w:szCs w:val="24"/>
        </w:rPr>
        <w:t>, 2015)</w:t>
      </w:r>
      <w:r w:rsidRPr="00E16DB6">
        <w:rPr>
          <w:rFonts w:ascii="Garamond" w:hAnsi="Garamond"/>
          <w:sz w:val="24"/>
          <w:szCs w:val="24"/>
        </w:rPr>
        <w:t xml:space="preserve">. The  2030  Agenda  for Sustainable  Development  </w:t>
      </w:r>
      <w:r w:rsidR="0043143C" w:rsidRPr="00E16DB6">
        <w:rPr>
          <w:rFonts w:ascii="Garamond" w:hAnsi="Garamond"/>
          <w:sz w:val="24"/>
          <w:szCs w:val="24"/>
        </w:rPr>
        <w:t>recognizes</w:t>
      </w:r>
      <w:r w:rsidRPr="00E16DB6">
        <w:rPr>
          <w:rFonts w:ascii="Garamond" w:hAnsi="Garamond"/>
          <w:sz w:val="24"/>
          <w:szCs w:val="24"/>
        </w:rPr>
        <w:t xml:space="preserve">  collaborative  partnerships,  and  provides  a  useful  universal  framework  to  strengthen collective action towards common goals. The multi-sectoral and cross-cutting nature of sustainable development as well as the need to achieve a better balance between its diverse dimensions calls for policy coherence and integration. </w:t>
      </w:r>
    </w:p>
    <w:p w:rsidR="00E756D0" w:rsidRPr="00E16DB6" w:rsidRDefault="00E756D0" w:rsidP="00C26A15">
      <w:pPr>
        <w:spacing w:after="0" w:line="240" w:lineRule="auto"/>
        <w:jc w:val="both"/>
        <w:rPr>
          <w:rFonts w:ascii="Garamond" w:hAnsi="Garamond"/>
          <w:bCs/>
          <w:sz w:val="24"/>
          <w:szCs w:val="24"/>
        </w:rPr>
      </w:pPr>
    </w:p>
    <w:p w:rsidR="00991ADE" w:rsidRDefault="001216D8" w:rsidP="00C26A15">
      <w:pPr>
        <w:spacing w:after="0" w:line="240" w:lineRule="auto"/>
        <w:jc w:val="both"/>
        <w:rPr>
          <w:rFonts w:ascii="Garamond" w:hAnsi="Garamond"/>
          <w:bCs/>
          <w:sz w:val="24"/>
          <w:szCs w:val="24"/>
        </w:rPr>
      </w:pPr>
      <w:r w:rsidRPr="00E16DB6">
        <w:rPr>
          <w:rFonts w:ascii="Garamond" w:hAnsi="Garamond"/>
          <w:bCs/>
          <w:sz w:val="24"/>
          <w:szCs w:val="24"/>
        </w:rPr>
        <w:t>T</w:t>
      </w:r>
      <w:r w:rsidRPr="00E16DB6">
        <w:rPr>
          <w:rFonts w:ascii="Garamond" w:hAnsi="Garamond"/>
          <w:sz w:val="24"/>
          <w:szCs w:val="24"/>
        </w:rPr>
        <w:t>he Rio+20 national preparations underscored the need for more coherent planning and decision-making at and between the national, sub-national, and local levels of government as well as across thematic sectors</w:t>
      </w:r>
      <w:r w:rsidR="00E756D0">
        <w:rPr>
          <w:rFonts w:ascii="Garamond" w:hAnsi="Garamond"/>
          <w:sz w:val="24"/>
          <w:szCs w:val="24"/>
        </w:rPr>
        <w:t xml:space="preserve"> to meet SDGs</w:t>
      </w:r>
      <w:r w:rsidRPr="00E16DB6">
        <w:rPr>
          <w:rFonts w:ascii="Garamond" w:hAnsi="Garamond"/>
          <w:sz w:val="24"/>
          <w:szCs w:val="24"/>
        </w:rPr>
        <w:t xml:space="preserve">. </w:t>
      </w:r>
      <w:r w:rsidR="00E756D0" w:rsidRPr="00E16DB6">
        <w:rPr>
          <w:rFonts w:ascii="Garamond" w:hAnsi="Garamond"/>
          <w:sz w:val="24"/>
          <w:szCs w:val="24"/>
        </w:rPr>
        <w:t xml:space="preserve">Unlike MDGs, </w:t>
      </w:r>
      <w:r w:rsidRPr="00E16DB6">
        <w:rPr>
          <w:rFonts w:ascii="Garamond" w:hAnsi="Garamond"/>
          <w:bCs/>
          <w:sz w:val="24"/>
          <w:szCs w:val="24"/>
        </w:rPr>
        <w:t xml:space="preserve">SDGs are universal goals </w:t>
      </w:r>
      <w:r w:rsidRPr="00E16DB6">
        <w:rPr>
          <w:rFonts w:ascii="Garamond" w:hAnsi="Garamond"/>
          <w:sz w:val="24"/>
          <w:szCs w:val="24"/>
        </w:rPr>
        <w:t xml:space="preserve">that apply to every nation (not just developing countries). </w:t>
      </w:r>
      <w:r w:rsidR="00991ADE">
        <w:rPr>
          <w:rFonts w:ascii="Garamond" w:hAnsi="Garamond"/>
          <w:sz w:val="24"/>
          <w:szCs w:val="24"/>
        </w:rPr>
        <w:t xml:space="preserve">In particular, </w:t>
      </w:r>
      <w:r w:rsidRPr="00E16DB6">
        <w:rPr>
          <w:rFonts w:ascii="Garamond" w:hAnsi="Garamond"/>
          <w:sz w:val="24"/>
          <w:szCs w:val="24"/>
        </w:rPr>
        <w:t xml:space="preserve">SDGs consist of </w:t>
      </w:r>
      <w:r w:rsidRPr="00E16DB6">
        <w:rPr>
          <w:rFonts w:ascii="Garamond" w:hAnsi="Garamond"/>
          <w:bCs/>
          <w:sz w:val="24"/>
          <w:szCs w:val="24"/>
        </w:rPr>
        <w:t xml:space="preserve">more goals (17) and targets (169) which balance the three dimensions of sustainable development </w:t>
      </w:r>
      <w:r w:rsidR="00991ADE">
        <w:rPr>
          <w:rFonts w:ascii="Garamond" w:hAnsi="Garamond"/>
          <w:bCs/>
          <w:sz w:val="24"/>
          <w:szCs w:val="24"/>
        </w:rPr>
        <w:t xml:space="preserve">compared with MDGs </w:t>
      </w:r>
      <w:r w:rsidRPr="00E16DB6">
        <w:rPr>
          <w:rFonts w:ascii="Garamond" w:hAnsi="Garamond"/>
          <w:bCs/>
          <w:sz w:val="24"/>
          <w:szCs w:val="24"/>
        </w:rPr>
        <w:t xml:space="preserve">(Box 1). The </w:t>
      </w:r>
      <w:r w:rsidR="00CF3528">
        <w:rPr>
          <w:rFonts w:ascii="Garamond" w:hAnsi="Garamond"/>
          <w:bCs/>
          <w:sz w:val="24"/>
          <w:szCs w:val="24"/>
        </w:rPr>
        <w:t>For each goal and target area, relevant indicators are developed to track progress; SDGs c</w:t>
      </w:r>
      <w:r w:rsidRPr="00E16DB6">
        <w:rPr>
          <w:rFonts w:ascii="Garamond" w:hAnsi="Garamond"/>
          <w:bCs/>
          <w:sz w:val="24"/>
          <w:szCs w:val="24"/>
        </w:rPr>
        <w:t xml:space="preserve">onsist of </w:t>
      </w:r>
      <w:r w:rsidR="007C26F8">
        <w:rPr>
          <w:rFonts w:ascii="Garamond" w:hAnsi="Garamond"/>
          <w:bCs/>
          <w:sz w:val="24"/>
          <w:szCs w:val="24"/>
        </w:rPr>
        <w:t xml:space="preserve">about </w:t>
      </w:r>
      <w:r w:rsidRPr="00E16DB6">
        <w:rPr>
          <w:rFonts w:ascii="Garamond" w:hAnsi="Garamond"/>
          <w:bCs/>
          <w:sz w:val="24"/>
          <w:szCs w:val="24"/>
        </w:rPr>
        <w:t>2</w:t>
      </w:r>
      <w:r w:rsidR="007C26F8">
        <w:rPr>
          <w:rFonts w:ascii="Garamond" w:hAnsi="Garamond"/>
          <w:bCs/>
          <w:sz w:val="24"/>
          <w:szCs w:val="24"/>
        </w:rPr>
        <w:t>30</w:t>
      </w:r>
      <w:r w:rsidRPr="00E16DB6">
        <w:rPr>
          <w:rFonts w:ascii="Garamond" w:hAnsi="Garamond"/>
          <w:bCs/>
          <w:sz w:val="24"/>
          <w:szCs w:val="24"/>
        </w:rPr>
        <w:t xml:space="preserve"> indicators.</w:t>
      </w:r>
    </w:p>
    <w:p w:rsidR="001216D8" w:rsidRPr="00E16DB6" w:rsidRDefault="001216D8" w:rsidP="00C26A15">
      <w:pPr>
        <w:spacing w:after="0" w:line="240" w:lineRule="auto"/>
        <w:jc w:val="both"/>
        <w:rPr>
          <w:rFonts w:ascii="Garamond" w:hAnsi="Garamond"/>
          <w:bCs/>
          <w:sz w:val="24"/>
          <w:szCs w:val="24"/>
        </w:rPr>
      </w:pPr>
      <w:r w:rsidRPr="00E16DB6">
        <w:rPr>
          <w:rFonts w:ascii="Garamond" w:hAnsi="Garamond"/>
          <w:bCs/>
          <w:sz w:val="24"/>
          <w:szCs w:val="24"/>
        </w:rPr>
        <w:t xml:space="preserve">  </w:t>
      </w:r>
    </w:p>
    <w:p w:rsidR="001216D8" w:rsidRDefault="001216D8" w:rsidP="00C26A15">
      <w:pPr>
        <w:spacing w:after="0" w:line="240" w:lineRule="auto"/>
        <w:jc w:val="both"/>
        <w:rPr>
          <w:rFonts w:ascii="Garamond" w:hAnsi="Garamond"/>
          <w:sz w:val="24"/>
          <w:szCs w:val="24"/>
        </w:rPr>
      </w:pPr>
      <w:r w:rsidRPr="00E16DB6">
        <w:rPr>
          <w:rFonts w:ascii="Garamond" w:hAnsi="Garamond"/>
          <w:sz w:val="24"/>
          <w:szCs w:val="24"/>
        </w:rPr>
        <w:t xml:space="preserve">The Sustainable Development Goal 17 “Strengthen the means of implementation and revitalize the global partnership for sustainable development” includes “Institutional and Policy Coherence” as an integral part of the Means of Implementation (MoI). It also includes a cross-cutting target to “enhance policy coherence for sustainable development” which apply to the whole SDG framework (OECD, 2015). In achieving this target, governments need to ensure that their policies in all public domains are consistent with, and do not undermine the achievement of sustainable development goals. </w:t>
      </w:r>
    </w:p>
    <w:p w:rsidR="00B14414" w:rsidRDefault="00B14414" w:rsidP="00C26A15">
      <w:pPr>
        <w:spacing w:after="0" w:line="240" w:lineRule="auto"/>
        <w:jc w:val="both"/>
        <w:rPr>
          <w:rFonts w:ascii="Garamond" w:hAnsi="Garamond"/>
          <w:sz w:val="24"/>
          <w:szCs w:val="24"/>
        </w:rPr>
      </w:pPr>
    </w:p>
    <w:p w:rsidR="00B14414" w:rsidRDefault="00B14414" w:rsidP="00C26A15">
      <w:pPr>
        <w:spacing w:after="0" w:line="240" w:lineRule="auto"/>
        <w:jc w:val="both"/>
        <w:rPr>
          <w:rFonts w:ascii="Garamond" w:hAnsi="Garamond"/>
          <w:sz w:val="24"/>
          <w:szCs w:val="24"/>
        </w:rPr>
      </w:pPr>
    </w:p>
    <w:p w:rsidR="00632B59" w:rsidRPr="00E16DB6" w:rsidRDefault="00632B59" w:rsidP="00C26A15">
      <w:pPr>
        <w:spacing w:after="0" w:line="240" w:lineRule="auto"/>
        <w:jc w:val="both"/>
        <w:rPr>
          <w:rFonts w:ascii="Garamond" w:hAnsi="Garamond"/>
          <w:bCs/>
          <w:sz w:val="24"/>
          <w:szCs w:val="24"/>
        </w:rPr>
      </w:pPr>
    </w:p>
    <w:tbl>
      <w:tblPr>
        <w:tblW w:w="10716" w:type="dxa"/>
        <w:tblCellMar>
          <w:left w:w="0" w:type="dxa"/>
          <w:right w:w="0" w:type="dxa"/>
        </w:tblCellMar>
        <w:tblLook w:val="04A0" w:firstRow="1" w:lastRow="0" w:firstColumn="1" w:lastColumn="0" w:noHBand="0" w:noVBand="1"/>
      </w:tblPr>
      <w:tblGrid>
        <w:gridCol w:w="1628"/>
        <w:gridCol w:w="9088"/>
      </w:tblGrid>
      <w:tr w:rsidR="001216D8" w:rsidRPr="00D44AE3" w:rsidTr="00A30924">
        <w:trPr>
          <w:trHeight w:val="307"/>
        </w:trPr>
        <w:tc>
          <w:tcPr>
            <w:tcW w:w="1628" w:type="dxa"/>
            <w:tcBorders>
              <w:top w:val="single" w:sz="4" w:space="0" w:color="auto"/>
              <w:left w:val="single" w:sz="4" w:space="0" w:color="auto"/>
              <w:bottom w:val="single" w:sz="24"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b/>
                <w:bCs/>
                <w:lang w:val="en-GB"/>
              </w:rPr>
            </w:pPr>
          </w:p>
          <w:p w:rsidR="001216D8" w:rsidRPr="00D44AE3" w:rsidRDefault="001216D8" w:rsidP="00C26A15">
            <w:pPr>
              <w:spacing w:after="0" w:line="240" w:lineRule="auto"/>
              <w:jc w:val="both"/>
              <w:rPr>
                <w:rFonts w:ascii="Garamond" w:hAnsi="Garamond"/>
                <w:b/>
                <w:bCs/>
                <w:lang w:val="en-GB"/>
              </w:rPr>
            </w:pPr>
          </w:p>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1</w:t>
            </w:r>
          </w:p>
        </w:tc>
        <w:tc>
          <w:tcPr>
            <w:tcW w:w="9088" w:type="dxa"/>
            <w:tcBorders>
              <w:top w:val="single" w:sz="4" w:space="0" w:color="auto"/>
              <w:left w:val="single" w:sz="8" w:space="0" w:color="FFFFFF"/>
              <w:bottom w:val="single" w:sz="24"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bCs/>
                <w:lang w:val="en-GB"/>
              </w:rPr>
            </w:pPr>
            <w:r w:rsidRPr="00D44AE3">
              <w:rPr>
                <w:rFonts w:ascii="Garamond" w:hAnsi="Garamond"/>
                <w:b/>
                <w:bCs/>
              </w:rPr>
              <w:t>Box 1: Sustainable Development Goals</w:t>
            </w:r>
          </w:p>
          <w:p w:rsidR="001216D8" w:rsidRPr="00D44AE3" w:rsidRDefault="001216D8" w:rsidP="00C26A15">
            <w:pPr>
              <w:spacing w:after="0" w:line="240" w:lineRule="auto"/>
              <w:jc w:val="both"/>
              <w:rPr>
                <w:rFonts w:ascii="Garamond" w:hAnsi="Garamond"/>
                <w:bCs/>
                <w:lang w:val="en-GB"/>
              </w:rPr>
            </w:pPr>
          </w:p>
          <w:p w:rsidR="001216D8" w:rsidRPr="00D44AE3" w:rsidRDefault="001216D8" w:rsidP="00C26A15">
            <w:pPr>
              <w:spacing w:after="0" w:line="240" w:lineRule="auto"/>
              <w:jc w:val="both"/>
              <w:rPr>
                <w:rFonts w:ascii="Garamond" w:hAnsi="Garamond"/>
              </w:rPr>
            </w:pPr>
            <w:r w:rsidRPr="00D44AE3">
              <w:rPr>
                <w:rFonts w:ascii="Garamond" w:hAnsi="Garamond"/>
                <w:bCs/>
                <w:lang w:val="en-GB"/>
              </w:rPr>
              <w:t xml:space="preserve">End poverty in all its forms everywhere </w:t>
            </w:r>
          </w:p>
        </w:tc>
      </w:tr>
      <w:tr w:rsidR="001216D8" w:rsidRPr="00D44AE3" w:rsidTr="00A30924">
        <w:trPr>
          <w:trHeight w:val="214"/>
        </w:trPr>
        <w:tc>
          <w:tcPr>
            <w:tcW w:w="1628" w:type="dxa"/>
            <w:tcBorders>
              <w:top w:val="single" w:sz="24"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2</w:t>
            </w:r>
          </w:p>
        </w:tc>
        <w:tc>
          <w:tcPr>
            <w:tcW w:w="9088" w:type="dxa"/>
            <w:tcBorders>
              <w:top w:val="single" w:sz="24"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lang w:val="en-GB"/>
              </w:rPr>
              <w:t xml:space="preserve">End hunger, achieve food security and improved nutrition and promote sustainable agriculture </w:t>
            </w:r>
          </w:p>
        </w:tc>
      </w:tr>
      <w:tr w:rsidR="001216D8" w:rsidRPr="00D44AE3" w:rsidTr="00A30924">
        <w:trPr>
          <w:trHeight w:val="214"/>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3</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lang w:val="en-GB"/>
              </w:rPr>
              <w:t xml:space="preserve">Ensure healthy lives and promote well-being for all at all ages </w:t>
            </w:r>
          </w:p>
        </w:tc>
      </w:tr>
      <w:tr w:rsidR="001216D8" w:rsidRPr="00D44AE3" w:rsidTr="00A30924">
        <w:trPr>
          <w:trHeight w:val="258"/>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4</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lang w:val="en-GB"/>
              </w:rPr>
              <w:t xml:space="preserve">Ensure inclusive and equitable quality education and promote lifelong learning opportunities for all </w:t>
            </w:r>
          </w:p>
        </w:tc>
      </w:tr>
      <w:tr w:rsidR="001216D8" w:rsidRPr="00D44AE3" w:rsidTr="00A30924">
        <w:trPr>
          <w:trHeight w:val="214"/>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5</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lang w:val="en-GB"/>
              </w:rPr>
              <w:t xml:space="preserve">Achieve gender equality and empower all women and girls </w:t>
            </w:r>
          </w:p>
        </w:tc>
      </w:tr>
      <w:tr w:rsidR="001216D8" w:rsidRPr="00D44AE3" w:rsidTr="00A30924">
        <w:trPr>
          <w:trHeight w:val="214"/>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6</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bCs/>
                <w:lang w:val="en-GB"/>
              </w:rPr>
              <w:t xml:space="preserve">Ensure availability and sustainable management of water and sanitation for all </w:t>
            </w:r>
          </w:p>
        </w:tc>
      </w:tr>
      <w:tr w:rsidR="001216D8" w:rsidRPr="00D44AE3" w:rsidTr="00A30924">
        <w:trPr>
          <w:trHeight w:val="214"/>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7</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bCs/>
                <w:lang w:val="en-GB"/>
              </w:rPr>
              <w:t xml:space="preserve">Ensure access to affordable, reliable, sustainable and modern energy for all </w:t>
            </w:r>
          </w:p>
        </w:tc>
      </w:tr>
      <w:tr w:rsidR="001216D8" w:rsidRPr="00D44AE3" w:rsidTr="00A30924">
        <w:trPr>
          <w:trHeight w:val="429"/>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8</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lang w:val="en-GB"/>
              </w:rPr>
              <w:t xml:space="preserve">Promote sustained, inclusive and sustainable economic growth, full and productive employment and decent work for all </w:t>
            </w:r>
          </w:p>
        </w:tc>
      </w:tr>
      <w:tr w:rsidR="001216D8" w:rsidRPr="00D44AE3" w:rsidTr="00A30924">
        <w:trPr>
          <w:trHeight w:val="262"/>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9</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lang w:val="en-GB"/>
              </w:rPr>
              <w:t xml:space="preserve">Build resilient infrastructure, promote inclusive and sustainable industrialization and foster innovation </w:t>
            </w:r>
          </w:p>
        </w:tc>
      </w:tr>
      <w:tr w:rsidR="001216D8" w:rsidRPr="00D44AE3" w:rsidTr="00A30924">
        <w:trPr>
          <w:trHeight w:val="214"/>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10</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lang w:val="en-GB"/>
              </w:rPr>
              <w:t xml:space="preserve">Reduce inequality within and among countries </w:t>
            </w:r>
          </w:p>
        </w:tc>
      </w:tr>
      <w:tr w:rsidR="001216D8" w:rsidRPr="00D44AE3" w:rsidTr="00A30924">
        <w:trPr>
          <w:trHeight w:val="214"/>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11</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lang w:val="en-GB"/>
              </w:rPr>
              <w:t xml:space="preserve">Make cities and human settlements inclusive, safe, resilient and sustainable </w:t>
            </w:r>
          </w:p>
        </w:tc>
      </w:tr>
      <w:tr w:rsidR="001216D8" w:rsidRPr="00D44AE3" w:rsidTr="00A30924">
        <w:trPr>
          <w:trHeight w:val="214"/>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12</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lang w:val="en-GB"/>
              </w:rPr>
              <w:t xml:space="preserve">Ensure sustainable consumption and production patterns </w:t>
            </w:r>
          </w:p>
        </w:tc>
      </w:tr>
      <w:tr w:rsidR="001216D8" w:rsidRPr="00D44AE3" w:rsidTr="00A30924">
        <w:trPr>
          <w:trHeight w:val="293"/>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13</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lang w:val="en-GB"/>
              </w:rPr>
              <w:t>Take urgent action to combat climate change and its impacts</w:t>
            </w:r>
            <w:r w:rsidRPr="00D44AE3">
              <w:rPr>
                <w:rStyle w:val="FootnoteReference"/>
                <w:rFonts w:ascii="Garamond" w:hAnsi="Garamond"/>
                <w:lang w:val="en-GB"/>
              </w:rPr>
              <w:footnoteReference w:id="11"/>
            </w:r>
            <w:r w:rsidRPr="00D44AE3">
              <w:rPr>
                <w:rFonts w:ascii="Garamond" w:hAnsi="Garamond"/>
                <w:lang w:val="en-GB"/>
              </w:rPr>
              <w:t xml:space="preserve">* </w:t>
            </w:r>
          </w:p>
        </w:tc>
      </w:tr>
      <w:tr w:rsidR="001216D8" w:rsidRPr="00D44AE3" w:rsidTr="00A30924">
        <w:trPr>
          <w:trHeight w:val="296"/>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14</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lang w:val="en-GB"/>
              </w:rPr>
              <w:t xml:space="preserve">Conserve and sustainably use the oceans, seas and marine resources for sustainable development </w:t>
            </w:r>
          </w:p>
        </w:tc>
      </w:tr>
      <w:tr w:rsidR="001216D8" w:rsidRPr="00D44AE3" w:rsidTr="00A30924">
        <w:trPr>
          <w:trHeight w:val="429"/>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15</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lang w:val="en-GB"/>
              </w:rPr>
              <w:t xml:space="preserve">Protect, restore and promote sustainable use of terrestrial ecosystems, sustainably manage forests, combat desertification, and halt and reverse land degradation and halt biodiversity loss </w:t>
            </w:r>
          </w:p>
        </w:tc>
      </w:tr>
      <w:tr w:rsidR="001216D8" w:rsidRPr="00D44AE3" w:rsidTr="00A30924">
        <w:trPr>
          <w:trHeight w:val="535"/>
        </w:trPr>
        <w:tc>
          <w:tcPr>
            <w:tcW w:w="1628" w:type="dxa"/>
            <w:tcBorders>
              <w:top w:val="single" w:sz="8" w:space="0" w:color="FFFFFF"/>
              <w:left w:val="single" w:sz="4" w:space="0" w:color="auto"/>
              <w:bottom w:val="single" w:sz="8" w:space="0" w:color="FFFFFF"/>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16</w:t>
            </w:r>
          </w:p>
        </w:tc>
        <w:tc>
          <w:tcPr>
            <w:tcW w:w="9088" w:type="dxa"/>
            <w:tcBorders>
              <w:top w:val="single" w:sz="8" w:space="0" w:color="FFFFFF"/>
              <w:left w:val="single" w:sz="8" w:space="0" w:color="FFFFFF"/>
              <w:bottom w:val="single" w:sz="8" w:space="0" w:color="FFFFFF"/>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rPr>
            </w:pPr>
            <w:r w:rsidRPr="00D44AE3">
              <w:rPr>
                <w:rFonts w:ascii="Garamond" w:hAnsi="Garamond"/>
                <w:lang w:val="en-GB"/>
              </w:rPr>
              <w:t xml:space="preserve">Promote peaceful and inclusive societies for sustainable development, provide access to justice for all and build effective, accountable and inclusive institutions at all levels </w:t>
            </w:r>
          </w:p>
        </w:tc>
      </w:tr>
      <w:tr w:rsidR="001216D8" w:rsidRPr="00D44AE3" w:rsidTr="00A30924">
        <w:trPr>
          <w:trHeight w:val="622"/>
        </w:trPr>
        <w:tc>
          <w:tcPr>
            <w:tcW w:w="1628" w:type="dxa"/>
            <w:tcBorders>
              <w:top w:val="single" w:sz="8" w:space="0" w:color="FFFFFF"/>
              <w:left w:val="single" w:sz="4" w:space="0" w:color="auto"/>
              <w:bottom w:val="single" w:sz="4" w:space="0" w:color="auto"/>
              <w:right w:val="single" w:sz="8" w:space="0" w:color="FFFFFF"/>
            </w:tcBorders>
            <w:shd w:val="clear" w:color="auto" w:fill="4F81BD"/>
            <w:tcMar>
              <w:top w:w="15" w:type="dxa"/>
              <w:left w:w="98" w:type="dxa"/>
              <w:bottom w:w="0" w:type="dxa"/>
              <w:right w:w="98" w:type="dxa"/>
            </w:tcMar>
            <w:hideMark/>
          </w:tcPr>
          <w:p w:rsidR="001216D8" w:rsidRPr="00D44AE3" w:rsidRDefault="001216D8" w:rsidP="00C26A15">
            <w:pPr>
              <w:spacing w:after="0" w:line="240" w:lineRule="auto"/>
              <w:jc w:val="both"/>
              <w:rPr>
                <w:rFonts w:ascii="Garamond" w:hAnsi="Garamond"/>
              </w:rPr>
            </w:pPr>
            <w:r w:rsidRPr="00D44AE3">
              <w:rPr>
                <w:rFonts w:ascii="Garamond" w:hAnsi="Garamond"/>
                <w:b/>
                <w:bCs/>
                <w:lang w:val="en-GB"/>
              </w:rPr>
              <w:t>Goal 17</w:t>
            </w:r>
          </w:p>
        </w:tc>
        <w:tc>
          <w:tcPr>
            <w:tcW w:w="9088" w:type="dxa"/>
            <w:tcBorders>
              <w:top w:val="single" w:sz="8" w:space="0" w:color="FFFFFF"/>
              <w:left w:val="single" w:sz="8" w:space="0" w:color="FFFFFF"/>
              <w:bottom w:val="single" w:sz="4" w:space="0" w:color="auto"/>
              <w:right w:val="single" w:sz="4" w:space="0" w:color="auto"/>
            </w:tcBorders>
            <w:shd w:val="clear" w:color="auto" w:fill="auto"/>
            <w:tcMar>
              <w:top w:w="15" w:type="dxa"/>
              <w:left w:w="98" w:type="dxa"/>
              <w:bottom w:w="0" w:type="dxa"/>
              <w:right w:w="98" w:type="dxa"/>
            </w:tcMar>
            <w:vAlign w:val="center"/>
            <w:hideMark/>
          </w:tcPr>
          <w:p w:rsidR="001216D8" w:rsidRPr="00D44AE3" w:rsidRDefault="001216D8" w:rsidP="00C26A15">
            <w:pPr>
              <w:spacing w:after="0" w:line="240" w:lineRule="auto"/>
              <w:jc w:val="both"/>
              <w:rPr>
                <w:rFonts w:ascii="Garamond" w:hAnsi="Garamond"/>
                <w:lang w:val="en-GB"/>
              </w:rPr>
            </w:pPr>
            <w:r w:rsidRPr="00D44AE3">
              <w:rPr>
                <w:rFonts w:ascii="Garamond" w:hAnsi="Garamond"/>
                <w:lang w:val="en-GB"/>
              </w:rPr>
              <w:t xml:space="preserve">Strengthen the means of implementation and revitalize the global partnership for sustainable development </w:t>
            </w:r>
          </w:p>
          <w:p w:rsidR="001216D8" w:rsidRPr="00D44AE3" w:rsidRDefault="001216D8" w:rsidP="00C26A15">
            <w:pPr>
              <w:spacing w:after="0" w:line="240" w:lineRule="auto"/>
              <w:jc w:val="both"/>
              <w:rPr>
                <w:rFonts w:ascii="Garamond" w:hAnsi="Garamond"/>
              </w:rPr>
            </w:pPr>
            <w:r w:rsidRPr="00D44AE3">
              <w:rPr>
                <w:rFonts w:ascii="Garamond" w:hAnsi="Garamond" w:cs="TimesNewRoman"/>
              </w:rPr>
              <w:t>Source: UN (2015)</w:t>
            </w:r>
          </w:p>
        </w:tc>
      </w:tr>
    </w:tbl>
    <w:p w:rsidR="001216D8" w:rsidRDefault="001216D8" w:rsidP="00C26A15">
      <w:pPr>
        <w:pStyle w:val="Default"/>
        <w:ind w:left="720"/>
        <w:rPr>
          <w:rFonts w:ascii="Garamond" w:hAnsi="Garamond"/>
        </w:rPr>
      </w:pPr>
    </w:p>
    <w:p w:rsidR="001216D8" w:rsidRPr="00EB7A0C" w:rsidRDefault="007F57F8" w:rsidP="00C26A15">
      <w:pPr>
        <w:pStyle w:val="Heading3"/>
        <w:spacing w:before="0" w:line="240" w:lineRule="auto"/>
        <w:rPr>
          <w:rFonts w:ascii="Garamond" w:hAnsi="Garamond"/>
          <w:b/>
        </w:rPr>
      </w:pPr>
      <w:bookmarkStart w:id="26" w:name="_Toc486782258"/>
      <w:r>
        <w:rPr>
          <w:rFonts w:ascii="Garamond" w:hAnsi="Garamond"/>
          <w:b/>
        </w:rPr>
        <w:t>3</w:t>
      </w:r>
      <w:r w:rsidR="00E369A1" w:rsidRPr="00E369A1">
        <w:rPr>
          <w:rFonts w:ascii="Garamond" w:hAnsi="Garamond"/>
          <w:b/>
        </w:rPr>
        <w:t xml:space="preserve">.1.2 </w:t>
      </w:r>
      <w:r w:rsidR="00B76720" w:rsidRPr="00E369A1">
        <w:rPr>
          <w:rFonts w:ascii="Garamond" w:hAnsi="Garamond"/>
          <w:b/>
        </w:rPr>
        <w:t xml:space="preserve">Regional sustainable </w:t>
      </w:r>
      <w:bookmarkStart w:id="27" w:name="_Toc466693768"/>
      <w:r w:rsidR="00E369A1">
        <w:rPr>
          <w:rFonts w:ascii="Garamond" w:hAnsi="Garamond"/>
          <w:b/>
        </w:rPr>
        <w:t>development frameworks</w:t>
      </w:r>
      <w:r w:rsidR="001216D8" w:rsidRPr="00EB7A0C">
        <w:rPr>
          <w:rFonts w:ascii="Garamond" w:hAnsi="Garamond"/>
          <w:b/>
        </w:rPr>
        <w:t>: Agenda 2063</w:t>
      </w:r>
      <w:bookmarkEnd w:id="26"/>
      <w:bookmarkEnd w:id="27"/>
      <w:r w:rsidR="001216D8" w:rsidRPr="00EB7A0C">
        <w:rPr>
          <w:rFonts w:ascii="Garamond" w:hAnsi="Garamond"/>
          <w:b/>
        </w:rPr>
        <w:t xml:space="preserve"> </w:t>
      </w:r>
    </w:p>
    <w:p w:rsidR="001216D8" w:rsidRPr="00E16DB6" w:rsidRDefault="001216D8" w:rsidP="00C26A15">
      <w:pPr>
        <w:spacing w:after="0" w:line="240" w:lineRule="auto"/>
        <w:jc w:val="both"/>
        <w:rPr>
          <w:rFonts w:ascii="Garamond" w:hAnsi="Garamond"/>
          <w:sz w:val="24"/>
          <w:szCs w:val="24"/>
        </w:rPr>
      </w:pPr>
    </w:p>
    <w:p w:rsidR="001216D8" w:rsidRPr="00E16DB6" w:rsidRDefault="001216D8" w:rsidP="00C26A15">
      <w:pPr>
        <w:spacing w:after="0" w:line="240" w:lineRule="auto"/>
        <w:jc w:val="both"/>
        <w:rPr>
          <w:rFonts w:ascii="Garamond" w:hAnsi="Garamond"/>
          <w:sz w:val="24"/>
          <w:szCs w:val="24"/>
        </w:rPr>
      </w:pPr>
      <w:r w:rsidRPr="00E16DB6">
        <w:rPr>
          <w:rFonts w:ascii="Garamond" w:hAnsi="Garamond"/>
          <w:sz w:val="24"/>
          <w:szCs w:val="24"/>
        </w:rPr>
        <w:t xml:space="preserve">African member states prioritized structural transformation as reflected in the continent’s blueprint for development (Agenda 2063) and the </w:t>
      </w:r>
      <w:r w:rsidR="003E4CBC">
        <w:rPr>
          <w:rFonts w:ascii="Garamond" w:hAnsi="Garamond"/>
          <w:sz w:val="24"/>
          <w:szCs w:val="24"/>
        </w:rPr>
        <w:t>2030 A</w:t>
      </w:r>
      <w:r w:rsidRPr="00E16DB6">
        <w:rPr>
          <w:rFonts w:ascii="Garamond" w:hAnsi="Garamond"/>
          <w:sz w:val="24"/>
          <w:szCs w:val="24"/>
        </w:rPr>
        <w:t xml:space="preserve">genda. The Common African Position (CAP) on the Post 2015 development agenda articulated the continent’s priorities for the global agenda and served as a unifying voice for the continent in the intergovernmental negotiations that culminated in the </w:t>
      </w:r>
      <w:r>
        <w:rPr>
          <w:rFonts w:ascii="Garamond" w:hAnsi="Garamond"/>
          <w:sz w:val="24"/>
          <w:szCs w:val="24"/>
        </w:rPr>
        <w:t>a</w:t>
      </w:r>
      <w:r w:rsidRPr="00E16DB6">
        <w:rPr>
          <w:rFonts w:ascii="Garamond" w:hAnsi="Garamond"/>
          <w:sz w:val="24"/>
          <w:szCs w:val="24"/>
        </w:rPr>
        <w:t xml:space="preserve">doption of the Post 2015 development agenda in 2015. </w:t>
      </w:r>
      <w:r w:rsidRPr="00E16DB6">
        <w:rPr>
          <w:rFonts w:ascii="Garamond" w:hAnsi="Garamond" w:cs="Arial"/>
          <w:sz w:val="24"/>
          <w:szCs w:val="24"/>
        </w:rPr>
        <w:t xml:space="preserve">The sustainable development goals (SDGs) and Agenda 2063 provide the global and regional enabling environment required for Africa’s transformation, while agenda 2063 </w:t>
      </w:r>
      <w:r w:rsidRPr="00E16DB6">
        <w:rPr>
          <w:rFonts w:ascii="Garamond" w:hAnsi="Garamond"/>
          <w:sz w:val="24"/>
          <w:szCs w:val="24"/>
        </w:rPr>
        <w:t>reflects the totality of Africa’s development priorities including region-specific transboundary priorities. Nevertheless, a shared objective of Agenda 2063 and the SDGs is the achievement of structural transformation underpinned by sustainable development in all its dimensions: economic, social and environmental. Implementing Agenda 2030 involves taking “transformational” actions that redirect investment flows within and across sectors.</w:t>
      </w:r>
    </w:p>
    <w:p w:rsidR="001216D8" w:rsidRPr="00E16DB6" w:rsidRDefault="001216D8" w:rsidP="00C26A15">
      <w:pPr>
        <w:spacing w:after="0" w:line="240" w:lineRule="auto"/>
        <w:rPr>
          <w:rFonts w:ascii="Garamond" w:hAnsi="Garamond"/>
          <w:sz w:val="24"/>
          <w:szCs w:val="24"/>
        </w:rPr>
      </w:pPr>
    </w:p>
    <w:p w:rsidR="001216D8" w:rsidRPr="00E16DB6" w:rsidRDefault="0043143C" w:rsidP="00C26A15">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The </w:t>
      </w:r>
      <w:r w:rsidR="001216D8" w:rsidRPr="00E16DB6">
        <w:rPr>
          <w:rFonts w:ascii="Garamond" w:hAnsi="Garamond" w:cs="Garamond"/>
          <w:sz w:val="24"/>
          <w:szCs w:val="24"/>
        </w:rPr>
        <w:t xml:space="preserve">2030 </w:t>
      </w:r>
      <w:r w:rsidRPr="00E16DB6">
        <w:rPr>
          <w:rFonts w:ascii="Garamond" w:hAnsi="Garamond" w:cs="Garamond"/>
          <w:sz w:val="24"/>
          <w:szCs w:val="24"/>
        </w:rPr>
        <w:t xml:space="preserve">Agenda </w:t>
      </w:r>
      <w:r w:rsidR="001216D8" w:rsidRPr="00E16DB6">
        <w:rPr>
          <w:rFonts w:ascii="Garamond" w:hAnsi="Garamond" w:cs="Garamond"/>
          <w:sz w:val="24"/>
          <w:szCs w:val="24"/>
        </w:rPr>
        <w:t xml:space="preserve">presents a unique opportunity for Africa </w:t>
      </w:r>
      <w:r>
        <w:rPr>
          <w:rFonts w:ascii="Garamond" w:hAnsi="Garamond" w:cs="Garamond"/>
          <w:sz w:val="24"/>
          <w:szCs w:val="24"/>
        </w:rPr>
        <w:t xml:space="preserve">in general and Ethiopia in particular </w:t>
      </w:r>
      <w:r w:rsidR="001216D8" w:rsidRPr="00E16DB6">
        <w:rPr>
          <w:rFonts w:ascii="Garamond" w:hAnsi="Garamond" w:cs="Garamond"/>
          <w:sz w:val="24"/>
          <w:szCs w:val="24"/>
        </w:rPr>
        <w:t xml:space="preserve">in its effort for pursuing structural economic transformation for inclusive and people centred </w:t>
      </w:r>
      <w:r w:rsidR="001216D8" w:rsidRPr="00E16DB6">
        <w:rPr>
          <w:rFonts w:ascii="Garamond" w:hAnsi="Garamond" w:cs="Garamond"/>
          <w:sz w:val="24"/>
          <w:szCs w:val="24"/>
        </w:rPr>
        <w:lastRenderedPageBreak/>
        <w:t xml:space="preserve">development (Africa Union Commission, 2015). This requires building productive capacities, especially in the areas of infrastructure, agriculture, industrial and services sectors development, science technology and innovation, value addition, youth development and engagement, women’s empowerment, and sustainable natural resource management. It also requires addressing the challenges posed by climate change (e.g. desertification, land degradation, drought and loss of biodiversity), promoting peace and security, and implementing a responsive and accountable global governance architecture through, </w:t>
      </w:r>
      <w:r w:rsidR="001216D8" w:rsidRPr="00E16DB6">
        <w:rPr>
          <w:rFonts w:ascii="Garamond" w:hAnsi="Garamond" w:cs="Garamond,Italic"/>
          <w:i/>
          <w:iCs/>
          <w:sz w:val="24"/>
          <w:szCs w:val="24"/>
        </w:rPr>
        <w:t>inter alia</w:t>
      </w:r>
      <w:r w:rsidR="001216D8" w:rsidRPr="00E16DB6">
        <w:rPr>
          <w:rFonts w:ascii="Garamond" w:hAnsi="Garamond" w:cs="Garamond"/>
          <w:sz w:val="24"/>
          <w:szCs w:val="24"/>
        </w:rPr>
        <w:t>, the full and equitable representation of African countries in the international financial and economic institutions. Thus, there is a need to align Africa’s development priorities with the global development agenda and the latter need to be customized to the context of Africa.</w:t>
      </w:r>
    </w:p>
    <w:p w:rsidR="001216D8" w:rsidRPr="00E16DB6" w:rsidRDefault="001216D8" w:rsidP="00C26A15">
      <w:pPr>
        <w:autoSpaceDE w:val="0"/>
        <w:autoSpaceDN w:val="0"/>
        <w:adjustRightInd w:val="0"/>
        <w:spacing w:after="0" w:line="240" w:lineRule="auto"/>
        <w:jc w:val="both"/>
        <w:rPr>
          <w:rFonts w:ascii="Garamond" w:hAnsi="Garamond" w:cs="Garamond"/>
          <w:sz w:val="24"/>
          <w:szCs w:val="24"/>
        </w:rPr>
      </w:pPr>
    </w:p>
    <w:p w:rsidR="001216D8" w:rsidRDefault="001216D8" w:rsidP="00C26A15">
      <w:pPr>
        <w:autoSpaceDE w:val="0"/>
        <w:autoSpaceDN w:val="0"/>
        <w:adjustRightInd w:val="0"/>
        <w:spacing w:after="0" w:line="240" w:lineRule="auto"/>
        <w:jc w:val="both"/>
        <w:rPr>
          <w:rFonts w:ascii="Garamond" w:hAnsi="Garamond" w:cs="Garamond"/>
          <w:sz w:val="24"/>
          <w:szCs w:val="24"/>
        </w:rPr>
      </w:pPr>
      <w:r w:rsidRPr="00E16DB6">
        <w:rPr>
          <w:rFonts w:ascii="Garamond" w:hAnsi="Garamond" w:cs="Garamond"/>
          <w:sz w:val="24"/>
          <w:szCs w:val="24"/>
        </w:rPr>
        <w:t>As indicated in the Common Africa Position (CAP), Africa’s development priorities have been grouped into six pillars (Africa Union Commission, 2015): (i) structural economic transformation and inclusive growth; (ii) science, technology and innovation; (iii) people-centred development; (iv) environmental sustainability natural resources management, and disaster risk management; (v) peace and security; and (vi) finance and partnerships.</w:t>
      </w:r>
    </w:p>
    <w:p w:rsidR="00027A9A" w:rsidRPr="00E16DB6" w:rsidRDefault="00027A9A" w:rsidP="00C26A15">
      <w:pPr>
        <w:autoSpaceDE w:val="0"/>
        <w:autoSpaceDN w:val="0"/>
        <w:adjustRightInd w:val="0"/>
        <w:spacing w:after="0" w:line="240" w:lineRule="auto"/>
        <w:jc w:val="both"/>
        <w:rPr>
          <w:rFonts w:ascii="Garamond" w:hAnsi="Garamond" w:cs="Garamond"/>
          <w:sz w:val="24"/>
          <w:szCs w:val="24"/>
        </w:rPr>
      </w:pPr>
    </w:p>
    <w:p w:rsidR="001216D8" w:rsidRPr="007C26F8" w:rsidRDefault="001216D8" w:rsidP="00C26A15">
      <w:pPr>
        <w:autoSpaceDE w:val="0"/>
        <w:autoSpaceDN w:val="0"/>
        <w:adjustRightInd w:val="0"/>
        <w:spacing w:after="0" w:line="240" w:lineRule="auto"/>
        <w:jc w:val="both"/>
        <w:rPr>
          <w:rFonts w:ascii="Garamond" w:hAnsi="Garamond" w:cs="Avenir-Light"/>
          <w:sz w:val="24"/>
          <w:szCs w:val="24"/>
        </w:rPr>
      </w:pPr>
      <w:r w:rsidRPr="00E16DB6">
        <w:rPr>
          <w:rFonts w:ascii="Garamond" w:hAnsi="Garamond" w:cs="Avenir-Light"/>
          <w:sz w:val="24"/>
          <w:szCs w:val="24"/>
        </w:rPr>
        <w:t xml:space="preserve">Agenda 2063, which is rooted in Pan Africanism and African Renaissance, provides a framework for addressing past injustices and the </w:t>
      </w:r>
      <w:r w:rsidR="007C26F8" w:rsidRPr="00E16DB6">
        <w:rPr>
          <w:rFonts w:ascii="Garamond" w:hAnsi="Garamond" w:cs="Avenir-Light"/>
          <w:sz w:val="24"/>
          <w:szCs w:val="24"/>
        </w:rPr>
        <w:t>realization</w:t>
      </w:r>
      <w:r w:rsidRPr="00E16DB6">
        <w:rPr>
          <w:rFonts w:ascii="Garamond" w:hAnsi="Garamond" w:cs="Avenir-Light"/>
          <w:sz w:val="24"/>
          <w:szCs w:val="24"/>
        </w:rPr>
        <w:t xml:space="preserve"> of the 21st Century as the African Century. The agenda 2063 is based on the Pan Africa vision of “</w:t>
      </w:r>
      <w:r w:rsidRPr="00E16DB6">
        <w:rPr>
          <w:rFonts w:ascii="Garamond" w:hAnsi="Garamond" w:cs="Avenir-Light"/>
          <w:i/>
          <w:sz w:val="24"/>
          <w:szCs w:val="24"/>
        </w:rPr>
        <w:t>an integrated, prosperous and peaceful Africa, driven by its own citizens and representing a dynamic force in the international arena</w:t>
      </w:r>
      <w:r w:rsidRPr="00E16DB6">
        <w:rPr>
          <w:rFonts w:ascii="Garamond" w:hAnsi="Garamond" w:cs="Avenir-Light"/>
          <w:sz w:val="24"/>
          <w:szCs w:val="24"/>
        </w:rPr>
        <w:t xml:space="preserve">” (Africa Union Commission, 2015). </w:t>
      </w:r>
      <w:r w:rsidR="007C26F8" w:rsidRPr="007C26F8">
        <w:rPr>
          <w:rFonts w:ascii="Garamond" w:hAnsi="Garamond" w:cs="Avenir-Light"/>
          <w:sz w:val="24"/>
          <w:szCs w:val="24"/>
        </w:rPr>
        <w:t>Agenda 2063 consists of seven aspirations, 20 goals, 39 priority areas, 256 targets and 248 indicators, while SDGs include 17 goals, 169 targets and 231 indicators. It appears that Agenda 2063 is more comprehensive than that of SDGs.</w:t>
      </w:r>
    </w:p>
    <w:p w:rsidR="001216D8" w:rsidRPr="00415006" w:rsidRDefault="001216D8" w:rsidP="00C26A15">
      <w:pPr>
        <w:pBdr>
          <w:top w:val="single" w:sz="4" w:space="1" w:color="auto"/>
          <w:left w:val="single" w:sz="4" w:space="4" w:color="auto"/>
          <w:bottom w:val="single" w:sz="4" w:space="1" w:color="auto"/>
          <w:right w:val="single" w:sz="4" w:space="4" w:color="auto"/>
        </w:pBdr>
        <w:spacing w:after="0" w:line="240" w:lineRule="auto"/>
        <w:rPr>
          <w:rFonts w:ascii="Garamond" w:hAnsi="Garamond" w:cs="Avenir-Medium"/>
          <w:b/>
          <w:color w:val="593B1F"/>
        </w:rPr>
      </w:pPr>
      <w:r w:rsidRPr="00415006">
        <w:rPr>
          <w:rFonts w:ascii="Garamond" w:hAnsi="Garamond" w:cs="Avenir-Medium"/>
          <w:b/>
          <w:color w:val="593B1F"/>
        </w:rPr>
        <w:t xml:space="preserve">Box 2: The African We Want Aspirations </w:t>
      </w:r>
    </w:p>
    <w:p w:rsidR="001216D8" w:rsidRPr="00415006" w:rsidRDefault="001216D8"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Avenir-Light"/>
        </w:rPr>
      </w:pPr>
      <w:r w:rsidRPr="00415006">
        <w:rPr>
          <w:rFonts w:ascii="Garamond" w:hAnsi="Garamond" w:cs="Avenir-Light"/>
        </w:rPr>
        <w:t>1. A prosperous Africa based on inclusive growth and sustainable development</w:t>
      </w:r>
    </w:p>
    <w:p w:rsidR="001216D8" w:rsidRPr="00415006" w:rsidRDefault="001216D8"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Avenir-Light"/>
        </w:rPr>
      </w:pPr>
      <w:r w:rsidRPr="00415006">
        <w:rPr>
          <w:rFonts w:ascii="Garamond" w:hAnsi="Garamond" w:cs="Avenir-Light"/>
        </w:rPr>
        <w:t>2. An integrated continent, politically united and based on the ideals of Pan-Africanism and the vision of Africa’s Renaissance</w:t>
      </w:r>
    </w:p>
    <w:p w:rsidR="001216D8" w:rsidRPr="00415006" w:rsidRDefault="001216D8"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Avenir-Light"/>
        </w:rPr>
      </w:pPr>
      <w:r w:rsidRPr="00415006">
        <w:rPr>
          <w:rFonts w:ascii="Garamond" w:hAnsi="Garamond" w:cs="Avenir-Light"/>
        </w:rPr>
        <w:t>3. An Africa of good governance, democracy, respect for human rights, justice and the rule of law</w:t>
      </w:r>
    </w:p>
    <w:p w:rsidR="001216D8" w:rsidRPr="00415006" w:rsidRDefault="001216D8"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Avenir-Light"/>
        </w:rPr>
      </w:pPr>
      <w:r w:rsidRPr="00415006">
        <w:rPr>
          <w:rFonts w:ascii="Garamond" w:hAnsi="Garamond" w:cs="Avenir-Light"/>
        </w:rPr>
        <w:t>4. A peaceful and secure Africa</w:t>
      </w:r>
    </w:p>
    <w:p w:rsidR="001216D8" w:rsidRPr="00415006" w:rsidRDefault="001216D8"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Avenir-Light"/>
        </w:rPr>
      </w:pPr>
      <w:r w:rsidRPr="00415006">
        <w:rPr>
          <w:rFonts w:ascii="Garamond" w:hAnsi="Garamond" w:cs="Avenir-Light"/>
        </w:rPr>
        <w:t>5. An Africa with a strong cultural identity, common heritage, shared values and ethics</w:t>
      </w:r>
    </w:p>
    <w:p w:rsidR="001216D8" w:rsidRPr="00415006" w:rsidRDefault="001216D8"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Avenir-Light"/>
        </w:rPr>
      </w:pPr>
      <w:r w:rsidRPr="00415006">
        <w:rPr>
          <w:rFonts w:ascii="Garamond" w:hAnsi="Garamond" w:cs="Avenir-Light"/>
        </w:rPr>
        <w:t>6. An Africa whose development is people-driven, relying on the potential of African people, especially its women and youth, and caring for children</w:t>
      </w:r>
    </w:p>
    <w:p w:rsidR="001216D8" w:rsidRPr="00415006" w:rsidRDefault="001216D8" w:rsidP="00C26A15">
      <w:pPr>
        <w:pBdr>
          <w:top w:val="single" w:sz="4" w:space="1" w:color="auto"/>
          <w:left w:val="single" w:sz="4" w:space="4" w:color="auto"/>
          <w:bottom w:val="single" w:sz="4" w:space="1" w:color="auto"/>
          <w:right w:val="single" w:sz="4" w:space="4" w:color="auto"/>
        </w:pBdr>
        <w:spacing w:after="0" w:line="240" w:lineRule="auto"/>
        <w:rPr>
          <w:rFonts w:ascii="Garamond" w:hAnsi="Garamond" w:cs="Avenir-Light"/>
        </w:rPr>
      </w:pPr>
      <w:r w:rsidRPr="00415006">
        <w:rPr>
          <w:rFonts w:ascii="Garamond" w:hAnsi="Garamond" w:cs="Avenir-Light"/>
        </w:rPr>
        <w:t>7. Africa as a strong, united and influential global player and partner</w:t>
      </w:r>
    </w:p>
    <w:p w:rsidR="001216D8" w:rsidRPr="00415006" w:rsidRDefault="001216D8" w:rsidP="00C26A15">
      <w:pPr>
        <w:pBdr>
          <w:top w:val="single" w:sz="4" w:space="1" w:color="auto"/>
          <w:left w:val="single" w:sz="4" w:space="4" w:color="auto"/>
          <w:bottom w:val="single" w:sz="4" w:space="1" w:color="auto"/>
          <w:right w:val="single" w:sz="4" w:space="4" w:color="auto"/>
        </w:pBdr>
        <w:spacing w:after="0" w:line="240" w:lineRule="auto"/>
        <w:rPr>
          <w:rFonts w:ascii="Garamond" w:hAnsi="Garamond" w:cs="Avenir-Medium"/>
          <w:color w:val="593B1F"/>
        </w:rPr>
      </w:pPr>
      <w:r w:rsidRPr="00415006">
        <w:rPr>
          <w:rFonts w:ascii="Garamond" w:hAnsi="Garamond" w:cs="Avenir-Light"/>
        </w:rPr>
        <w:t>Source: Africa Union Commission (2015)</w:t>
      </w:r>
    </w:p>
    <w:p w:rsidR="00261E9F" w:rsidRDefault="00261E9F" w:rsidP="00C26A15">
      <w:pPr>
        <w:autoSpaceDE w:val="0"/>
        <w:autoSpaceDN w:val="0"/>
        <w:adjustRightInd w:val="0"/>
        <w:spacing w:after="0" w:line="240" w:lineRule="auto"/>
        <w:rPr>
          <w:rFonts w:ascii="Garamond" w:hAnsi="Garamond" w:cs="Avenir-Light"/>
          <w:sz w:val="24"/>
          <w:szCs w:val="24"/>
        </w:rPr>
      </w:pPr>
    </w:p>
    <w:p w:rsidR="00B76720" w:rsidRPr="00135C9A" w:rsidRDefault="007F57F8" w:rsidP="00C26A15">
      <w:pPr>
        <w:pStyle w:val="Heading2"/>
        <w:spacing w:before="0" w:line="240" w:lineRule="auto"/>
        <w:rPr>
          <w:rFonts w:ascii="Garamond" w:hAnsi="Garamond"/>
          <w:b/>
          <w:sz w:val="24"/>
          <w:szCs w:val="24"/>
        </w:rPr>
      </w:pPr>
      <w:bookmarkStart w:id="28" w:name="_Toc486782259"/>
      <w:r>
        <w:rPr>
          <w:rFonts w:ascii="Garamond" w:hAnsi="Garamond"/>
          <w:b/>
          <w:sz w:val="24"/>
          <w:szCs w:val="24"/>
        </w:rPr>
        <w:t>3</w:t>
      </w:r>
      <w:r w:rsidR="00135C9A">
        <w:rPr>
          <w:rFonts w:ascii="Garamond" w:hAnsi="Garamond"/>
          <w:b/>
          <w:sz w:val="24"/>
          <w:szCs w:val="24"/>
        </w:rPr>
        <w:t xml:space="preserve">.2 </w:t>
      </w:r>
      <w:r w:rsidR="00B76720" w:rsidRPr="00135C9A">
        <w:rPr>
          <w:rFonts w:ascii="Garamond" w:hAnsi="Garamond"/>
          <w:b/>
          <w:sz w:val="24"/>
          <w:szCs w:val="24"/>
        </w:rPr>
        <w:t>Review of national development policies, strategies and plans</w:t>
      </w:r>
      <w:bookmarkEnd w:id="28"/>
      <w:r w:rsidR="00B76720" w:rsidRPr="00135C9A">
        <w:rPr>
          <w:rFonts w:ascii="Garamond" w:hAnsi="Garamond"/>
          <w:b/>
          <w:sz w:val="24"/>
          <w:szCs w:val="24"/>
        </w:rPr>
        <w:t xml:space="preserve"> </w:t>
      </w:r>
    </w:p>
    <w:p w:rsidR="00B76720" w:rsidRPr="00103E3C" w:rsidRDefault="007F57F8" w:rsidP="00C26A15">
      <w:pPr>
        <w:pStyle w:val="Heading3"/>
        <w:spacing w:before="0" w:line="240" w:lineRule="auto"/>
        <w:rPr>
          <w:rFonts w:ascii="Garamond" w:hAnsi="Garamond"/>
          <w:b/>
        </w:rPr>
      </w:pPr>
      <w:bookmarkStart w:id="29" w:name="_Toc486782260"/>
      <w:r>
        <w:rPr>
          <w:rFonts w:ascii="Garamond" w:hAnsi="Garamond"/>
          <w:b/>
        </w:rPr>
        <w:t>3</w:t>
      </w:r>
      <w:r w:rsidR="00103E3C" w:rsidRPr="00103E3C">
        <w:rPr>
          <w:rFonts w:ascii="Garamond" w:hAnsi="Garamond"/>
          <w:b/>
        </w:rPr>
        <w:t xml:space="preserve">.2.1 </w:t>
      </w:r>
      <w:r w:rsidR="00B76720" w:rsidRPr="00103E3C">
        <w:rPr>
          <w:rFonts w:ascii="Garamond" w:hAnsi="Garamond"/>
          <w:b/>
        </w:rPr>
        <w:t>The Constitutional framework</w:t>
      </w:r>
      <w:bookmarkEnd w:id="29"/>
    </w:p>
    <w:p w:rsidR="00687198" w:rsidRDefault="00687198" w:rsidP="00C26A15">
      <w:pPr>
        <w:tabs>
          <w:tab w:val="num" w:pos="720"/>
        </w:tabs>
        <w:autoSpaceDE w:val="0"/>
        <w:autoSpaceDN w:val="0"/>
        <w:adjustRightInd w:val="0"/>
        <w:spacing w:after="0" w:line="240" w:lineRule="auto"/>
        <w:jc w:val="both"/>
        <w:rPr>
          <w:rFonts w:ascii="Garamond" w:hAnsi="Garamond" w:cs="FuturaBT-Heavy"/>
          <w:sz w:val="24"/>
          <w:szCs w:val="24"/>
        </w:rPr>
      </w:pPr>
      <w:r w:rsidRPr="00386BA6">
        <w:rPr>
          <w:rFonts w:ascii="Garamond" w:hAnsi="Garamond" w:cs="FuturaBT-Heavy"/>
          <w:sz w:val="24"/>
          <w:szCs w:val="24"/>
        </w:rPr>
        <w:t xml:space="preserve">Ethiopia is multiethnic, multilingual and multicultural nation and officially named the </w:t>
      </w:r>
      <w:r w:rsidRPr="00386BA6">
        <w:rPr>
          <w:rFonts w:ascii="Garamond" w:hAnsi="Garamond" w:cs="FuturaBT-Heavy"/>
          <w:bCs/>
          <w:sz w:val="24"/>
          <w:szCs w:val="24"/>
        </w:rPr>
        <w:t xml:space="preserve">Federal Democratic Republic of Ethiopia </w:t>
      </w:r>
      <w:r w:rsidRPr="00386BA6">
        <w:rPr>
          <w:rFonts w:ascii="Garamond" w:hAnsi="Garamond" w:cs="FuturaBT-Heavy"/>
          <w:sz w:val="24"/>
          <w:szCs w:val="24"/>
        </w:rPr>
        <w:t xml:space="preserve">which comprises nine member states and two city administrations. </w:t>
      </w:r>
      <w:r>
        <w:rPr>
          <w:rFonts w:ascii="Garamond" w:hAnsi="Garamond" w:cs="FuturaBT-Heavy"/>
          <w:sz w:val="24"/>
          <w:szCs w:val="24"/>
        </w:rPr>
        <w:t>The Constitution of the Federal Democratic Republic of Ethiopia (FDRE) is the supreme law of the land (FDRE, 199</w:t>
      </w:r>
      <w:r w:rsidR="007777F5">
        <w:rPr>
          <w:rFonts w:ascii="Garamond" w:hAnsi="Garamond" w:cs="FuturaBT-Heavy"/>
          <w:sz w:val="24"/>
          <w:szCs w:val="24"/>
        </w:rPr>
        <w:t>5</w:t>
      </w:r>
      <w:r>
        <w:rPr>
          <w:rFonts w:ascii="Garamond" w:hAnsi="Garamond" w:cs="FuturaBT-Heavy"/>
          <w:sz w:val="24"/>
          <w:szCs w:val="24"/>
        </w:rPr>
        <w:t xml:space="preserve">). </w:t>
      </w:r>
    </w:p>
    <w:p w:rsidR="00687198" w:rsidRPr="00784164" w:rsidRDefault="00687198" w:rsidP="00C26A15">
      <w:pPr>
        <w:autoSpaceDE w:val="0"/>
        <w:autoSpaceDN w:val="0"/>
        <w:adjustRightInd w:val="0"/>
        <w:spacing w:after="0" w:line="240" w:lineRule="auto"/>
        <w:jc w:val="both"/>
        <w:rPr>
          <w:rFonts w:ascii="Garamond" w:hAnsi="Garamond"/>
          <w:color w:val="000000"/>
          <w:sz w:val="24"/>
          <w:szCs w:val="24"/>
        </w:rPr>
      </w:pPr>
      <w:r w:rsidRPr="00386BA6">
        <w:rPr>
          <w:rFonts w:ascii="Garamond" w:hAnsi="Garamond" w:cs="FuturaBT-Heavy"/>
          <w:sz w:val="24"/>
          <w:szCs w:val="24"/>
        </w:rPr>
        <w:t xml:space="preserve">The overriding objective of the </w:t>
      </w:r>
      <w:r>
        <w:rPr>
          <w:rFonts w:ascii="Garamond" w:hAnsi="Garamond" w:cs="FuturaBT-Heavy"/>
          <w:sz w:val="24"/>
          <w:szCs w:val="24"/>
        </w:rPr>
        <w:t xml:space="preserve">government of </w:t>
      </w:r>
      <w:r w:rsidRPr="00386BA6">
        <w:rPr>
          <w:rFonts w:ascii="Garamond" w:hAnsi="Garamond" w:cs="FuturaBT-Heavy"/>
          <w:sz w:val="24"/>
          <w:szCs w:val="24"/>
        </w:rPr>
        <w:t>Ethiopia is poverty eradication and sustainable development. For Ethiopia, lasting peace, political stability, democracy and good governance are fundamental conditions to achieve poverty eradication and sustainable development agenda.</w:t>
      </w:r>
      <w:r>
        <w:rPr>
          <w:rFonts w:ascii="Garamond" w:hAnsi="Garamond" w:cs="FuturaBT-Heavy"/>
          <w:sz w:val="24"/>
          <w:szCs w:val="24"/>
        </w:rPr>
        <w:t xml:space="preserve"> </w:t>
      </w:r>
      <w:r w:rsidRPr="00386BA6">
        <w:rPr>
          <w:rFonts w:ascii="Garamond" w:hAnsi="Garamond" w:cs="FuturaBT-Heavy"/>
          <w:sz w:val="24"/>
          <w:szCs w:val="24"/>
        </w:rPr>
        <w:t>The context for sustainable development</w:t>
      </w:r>
      <w:r>
        <w:rPr>
          <w:rFonts w:ascii="Garamond" w:hAnsi="Garamond" w:cs="FuturaBT-Heavy"/>
          <w:sz w:val="24"/>
          <w:szCs w:val="24"/>
        </w:rPr>
        <w:t xml:space="preserve">, </w:t>
      </w:r>
      <w:r w:rsidRPr="00386BA6">
        <w:rPr>
          <w:rFonts w:ascii="Garamond" w:hAnsi="Garamond" w:cs="FuturaBT-Heavy"/>
          <w:sz w:val="24"/>
          <w:szCs w:val="24"/>
        </w:rPr>
        <w:t>planning</w:t>
      </w:r>
      <w:r>
        <w:rPr>
          <w:rFonts w:ascii="Garamond" w:hAnsi="Garamond" w:cs="FuturaBT-Heavy"/>
          <w:sz w:val="24"/>
          <w:szCs w:val="24"/>
        </w:rPr>
        <w:t>,</w:t>
      </w:r>
      <w:r w:rsidRPr="00386BA6">
        <w:rPr>
          <w:rFonts w:ascii="Garamond" w:hAnsi="Garamond" w:cs="FuturaBT-Heavy"/>
          <w:sz w:val="24"/>
          <w:szCs w:val="24"/>
        </w:rPr>
        <w:t xml:space="preserve"> and implementation in Ethiopia has been framed in the supreme law of the land by the Nations, Nationalities and Peoples of Ethiopia.</w:t>
      </w:r>
      <w:r>
        <w:rPr>
          <w:rFonts w:ascii="Garamond" w:hAnsi="Garamond" w:cs="FuturaBT-Heavy"/>
          <w:sz w:val="24"/>
          <w:szCs w:val="24"/>
        </w:rPr>
        <w:t xml:space="preserve"> </w:t>
      </w:r>
      <w:r w:rsidRPr="00386BA6">
        <w:rPr>
          <w:rFonts w:ascii="Garamond" w:hAnsi="Garamond" w:cs="FuturaBT-Heavy"/>
          <w:sz w:val="24"/>
          <w:szCs w:val="24"/>
          <w:lang w:val="en-GB"/>
        </w:rPr>
        <w:t>Guided by the principles of the supreme law of the land</w:t>
      </w:r>
      <w:r>
        <w:rPr>
          <w:rFonts w:ascii="Garamond" w:hAnsi="Garamond" w:cs="FuturaBT-Heavy"/>
          <w:sz w:val="24"/>
          <w:szCs w:val="24"/>
          <w:lang w:val="en-GB"/>
        </w:rPr>
        <w:t xml:space="preserve"> (</w:t>
      </w:r>
      <w:r w:rsidR="00816B9A">
        <w:rPr>
          <w:rFonts w:ascii="Garamond" w:hAnsi="Garamond" w:cs="FuturaBT-Heavy"/>
          <w:sz w:val="24"/>
          <w:szCs w:val="24"/>
          <w:lang w:val="en-GB"/>
        </w:rPr>
        <w:t xml:space="preserve">i.e. </w:t>
      </w:r>
      <w:r>
        <w:rPr>
          <w:rFonts w:ascii="Garamond" w:hAnsi="Garamond" w:cs="FuturaBT-Heavy"/>
          <w:sz w:val="24"/>
          <w:szCs w:val="24"/>
          <w:lang w:val="en-GB"/>
        </w:rPr>
        <w:t>the C</w:t>
      </w:r>
      <w:r w:rsidRPr="00386BA6">
        <w:rPr>
          <w:rFonts w:ascii="Garamond" w:hAnsi="Garamond" w:cs="FuturaBT-Heavy"/>
          <w:sz w:val="24"/>
          <w:szCs w:val="24"/>
          <w:lang w:val="en-GB"/>
        </w:rPr>
        <w:t>onstitution</w:t>
      </w:r>
      <w:r>
        <w:rPr>
          <w:rFonts w:ascii="Garamond" w:hAnsi="Garamond" w:cs="FuturaBT-Heavy"/>
          <w:sz w:val="24"/>
          <w:szCs w:val="24"/>
          <w:lang w:val="en-GB"/>
        </w:rPr>
        <w:t>)</w:t>
      </w:r>
      <w:r w:rsidRPr="00386BA6">
        <w:rPr>
          <w:rFonts w:ascii="Garamond" w:hAnsi="Garamond" w:cs="FuturaBT-Heavy"/>
          <w:sz w:val="24"/>
          <w:szCs w:val="24"/>
          <w:lang w:val="en-GB"/>
        </w:rPr>
        <w:t xml:space="preserve">, all national policies, strategies, plans </w:t>
      </w:r>
      <w:r w:rsidRPr="00386BA6">
        <w:rPr>
          <w:rFonts w:ascii="Garamond" w:hAnsi="Garamond" w:cs="FuturaBT-Heavy"/>
          <w:sz w:val="24"/>
          <w:szCs w:val="24"/>
          <w:lang w:val="en-GB"/>
        </w:rPr>
        <w:lastRenderedPageBreak/>
        <w:t>and program</w:t>
      </w:r>
      <w:r>
        <w:rPr>
          <w:rFonts w:ascii="Garamond" w:hAnsi="Garamond" w:cs="FuturaBT-Heavy"/>
          <w:sz w:val="24"/>
          <w:szCs w:val="24"/>
          <w:lang w:val="en-GB"/>
        </w:rPr>
        <w:t>me</w:t>
      </w:r>
      <w:r w:rsidRPr="00386BA6">
        <w:rPr>
          <w:rFonts w:ascii="Garamond" w:hAnsi="Garamond" w:cs="FuturaBT-Heavy"/>
          <w:sz w:val="24"/>
          <w:szCs w:val="24"/>
          <w:lang w:val="en-GB"/>
        </w:rPr>
        <w:t>s are geared towards</w:t>
      </w:r>
      <w:r>
        <w:rPr>
          <w:rFonts w:ascii="Garamond" w:hAnsi="Garamond" w:cs="FuturaBT-Heavy"/>
          <w:sz w:val="24"/>
          <w:szCs w:val="24"/>
          <w:lang w:val="en-GB"/>
        </w:rPr>
        <w:t xml:space="preserve"> achieving </w:t>
      </w:r>
      <w:r w:rsidRPr="00386BA6">
        <w:rPr>
          <w:rFonts w:ascii="Garamond" w:hAnsi="Garamond" w:cs="FuturaBT-Heavy"/>
          <w:sz w:val="24"/>
          <w:szCs w:val="24"/>
          <w:lang w:val="en-GB"/>
        </w:rPr>
        <w:t xml:space="preserve">sustainable development and </w:t>
      </w:r>
      <w:r>
        <w:rPr>
          <w:rFonts w:ascii="Garamond" w:hAnsi="Garamond" w:cs="FuturaBT-Heavy"/>
          <w:sz w:val="24"/>
          <w:szCs w:val="24"/>
          <w:lang w:val="en-GB"/>
        </w:rPr>
        <w:t>eradicating poverty</w:t>
      </w:r>
      <w:r w:rsidRPr="00386BA6">
        <w:rPr>
          <w:rFonts w:ascii="Garamond" w:hAnsi="Garamond" w:cs="FuturaBT-Heavy"/>
          <w:sz w:val="24"/>
          <w:szCs w:val="24"/>
          <w:lang w:val="en-GB"/>
        </w:rPr>
        <w:t>.</w:t>
      </w:r>
      <w:r>
        <w:rPr>
          <w:rFonts w:ascii="Garamond" w:hAnsi="Garamond" w:cs="FuturaBT-Heavy"/>
          <w:sz w:val="24"/>
          <w:szCs w:val="24"/>
          <w:lang w:val="en-GB"/>
        </w:rPr>
        <w:t xml:space="preserve"> </w:t>
      </w:r>
      <w:r w:rsidRPr="00EE724A">
        <w:rPr>
          <w:rFonts w:ascii="Garamond" w:hAnsi="Garamond" w:cs="FuturaBT-Heavy"/>
          <w:sz w:val="24"/>
          <w:szCs w:val="24"/>
          <w:lang w:val="en-GB"/>
        </w:rPr>
        <w:t>The Constitution of the FDRE provides power to the Federal Government to formulate and implement national policies, strategies and plans in respect to overall economic, social and development matters.</w:t>
      </w:r>
      <w:r>
        <w:rPr>
          <w:rFonts w:ascii="Garamond" w:hAnsi="Garamond" w:cs="FuturaBT-Heavy"/>
          <w:sz w:val="24"/>
          <w:szCs w:val="24"/>
          <w:lang w:val="en-GB"/>
        </w:rPr>
        <w:t xml:space="preserve"> This ensures vertical consistency as regional governments follow the national development policy as a guiding framework and customize with their own context. </w:t>
      </w:r>
      <w:r w:rsidRPr="00784164">
        <w:rPr>
          <w:rFonts w:ascii="Garamond" w:hAnsi="Garamond"/>
          <w:color w:val="000000"/>
          <w:sz w:val="24"/>
          <w:szCs w:val="24"/>
        </w:rPr>
        <w:t xml:space="preserve">In particular, the following are important provisions of the constitution: </w:t>
      </w:r>
    </w:p>
    <w:p w:rsidR="00687198" w:rsidRPr="00E1561B" w:rsidRDefault="00687198" w:rsidP="00F82810">
      <w:pPr>
        <w:pStyle w:val="ListParagraph"/>
        <w:numPr>
          <w:ilvl w:val="0"/>
          <w:numId w:val="1"/>
        </w:numPr>
        <w:autoSpaceDE w:val="0"/>
        <w:autoSpaceDN w:val="0"/>
        <w:adjustRightInd w:val="0"/>
        <w:spacing w:after="0" w:line="240" w:lineRule="auto"/>
        <w:contextualSpacing w:val="0"/>
        <w:jc w:val="both"/>
        <w:rPr>
          <w:rFonts w:ascii="Garamond" w:hAnsi="Garamond"/>
          <w:color w:val="000000"/>
          <w:sz w:val="24"/>
          <w:szCs w:val="24"/>
        </w:rPr>
      </w:pPr>
      <w:r w:rsidRPr="00E1561B">
        <w:rPr>
          <w:rFonts w:ascii="Garamond" w:hAnsi="Garamond"/>
          <w:color w:val="000000"/>
          <w:sz w:val="24"/>
          <w:szCs w:val="24"/>
        </w:rPr>
        <w:t xml:space="preserve">People have the right to improved living standards and to sustainable development, </w:t>
      </w:r>
    </w:p>
    <w:p w:rsidR="00687198" w:rsidRPr="00E1561B" w:rsidRDefault="00687198" w:rsidP="00F82810">
      <w:pPr>
        <w:pStyle w:val="ListParagraph"/>
        <w:numPr>
          <w:ilvl w:val="0"/>
          <w:numId w:val="1"/>
        </w:numPr>
        <w:autoSpaceDE w:val="0"/>
        <w:autoSpaceDN w:val="0"/>
        <w:adjustRightInd w:val="0"/>
        <w:spacing w:after="0" w:line="240" w:lineRule="auto"/>
        <w:contextualSpacing w:val="0"/>
        <w:jc w:val="both"/>
        <w:rPr>
          <w:rFonts w:ascii="Garamond" w:hAnsi="Garamond"/>
          <w:color w:val="000000"/>
          <w:sz w:val="24"/>
          <w:szCs w:val="24"/>
        </w:rPr>
      </w:pPr>
      <w:r w:rsidRPr="00E1561B">
        <w:rPr>
          <w:rFonts w:ascii="Garamond" w:hAnsi="Garamond"/>
          <w:color w:val="000000"/>
          <w:sz w:val="24"/>
          <w:szCs w:val="24"/>
        </w:rPr>
        <w:t xml:space="preserve">People have the right to full consultation and to the expression of views in the planning and implementations of environmental policies and projects that affect them directly, </w:t>
      </w:r>
    </w:p>
    <w:p w:rsidR="00687198" w:rsidRPr="00E1561B" w:rsidRDefault="00687198" w:rsidP="00F82810">
      <w:pPr>
        <w:pStyle w:val="ListParagraph"/>
        <w:numPr>
          <w:ilvl w:val="0"/>
          <w:numId w:val="1"/>
        </w:numPr>
        <w:autoSpaceDE w:val="0"/>
        <w:autoSpaceDN w:val="0"/>
        <w:adjustRightInd w:val="0"/>
        <w:spacing w:after="0" w:line="240" w:lineRule="auto"/>
        <w:contextualSpacing w:val="0"/>
        <w:jc w:val="both"/>
        <w:rPr>
          <w:rFonts w:ascii="Garamond" w:hAnsi="Garamond"/>
          <w:color w:val="000000"/>
          <w:sz w:val="24"/>
          <w:szCs w:val="24"/>
        </w:rPr>
      </w:pPr>
      <w:r w:rsidRPr="00E1561B">
        <w:rPr>
          <w:rFonts w:ascii="Garamond" w:hAnsi="Garamond"/>
          <w:color w:val="000000"/>
          <w:sz w:val="24"/>
          <w:szCs w:val="24"/>
        </w:rPr>
        <w:t xml:space="preserve">The people and the state have common responsibility/obligation to protect the environment </w:t>
      </w:r>
    </w:p>
    <w:p w:rsidR="00687198" w:rsidRPr="00E1561B" w:rsidRDefault="00687198" w:rsidP="00F82810">
      <w:pPr>
        <w:pStyle w:val="ListParagraph"/>
        <w:numPr>
          <w:ilvl w:val="0"/>
          <w:numId w:val="1"/>
        </w:numPr>
        <w:autoSpaceDE w:val="0"/>
        <w:autoSpaceDN w:val="0"/>
        <w:adjustRightInd w:val="0"/>
        <w:spacing w:after="0" w:line="240" w:lineRule="auto"/>
        <w:contextualSpacing w:val="0"/>
        <w:jc w:val="both"/>
        <w:rPr>
          <w:rFonts w:ascii="Garamond" w:hAnsi="Garamond"/>
          <w:color w:val="000000"/>
          <w:sz w:val="24"/>
          <w:szCs w:val="24"/>
        </w:rPr>
      </w:pPr>
      <w:r w:rsidRPr="00E1561B">
        <w:rPr>
          <w:rFonts w:ascii="Garamond" w:hAnsi="Garamond"/>
          <w:color w:val="000000"/>
          <w:sz w:val="24"/>
          <w:szCs w:val="24"/>
        </w:rPr>
        <w:t>The state endeavors to ensure all people live in a clean and healthy environment, and</w:t>
      </w:r>
    </w:p>
    <w:p w:rsidR="00687198" w:rsidRPr="00E1561B" w:rsidRDefault="00687198" w:rsidP="00F82810">
      <w:pPr>
        <w:pStyle w:val="ListParagraph"/>
        <w:numPr>
          <w:ilvl w:val="0"/>
          <w:numId w:val="1"/>
        </w:numPr>
        <w:autoSpaceDE w:val="0"/>
        <w:autoSpaceDN w:val="0"/>
        <w:adjustRightInd w:val="0"/>
        <w:spacing w:after="0" w:line="240" w:lineRule="auto"/>
        <w:contextualSpacing w:val="0"/>
        <w:jc w:val="both"/>
        <w:rPr>
          <w:rFonts w:ascii="Garamond" w:hAnsi="Garamond"/>
          <w:color w:val="000000"/>
          <w:sz w:val="24"/>
          <w:szCs w:val="24"/>
        </w:rPr>
      </w:pPr>
      <w:r w:rsidRPr="00E1561B">
        <w:rPr>
          <w:rFonts w:ascii="Garamond" w:hAnsi="Garamond"/>
          <w:color w:val="000000"/>
          <w:sz w:val="24"/>
          <w:szCs w:val="24"/>
        </w:rPr>
        <w:t>The state shall ensure that the design and implementation of development projects will not damage or destroy the environment.</w:t>
      </w:r>
    </w:p>
    <w:p w:rsidR="00687198" w:rsidRDefault="00687198" w:rsidP="00C26A15">
      <w:pPr>
        <w:autoSpaceDE w:val="0"/>
        <w:autoSpaceDN w:val="0"/>
        <w:adjustRightInd w:val="0"/>
        <w:spacing w:after="0" w:line="240" w:lineRule="auto"/>
        <w:jc w:val="both"/>
        <w:rPr>
          <w:rFonts w:ascii="Garamond" w:hAnsi="Garamond" w:cs="FuturaBT-Heavy"/>
          <w:sz w:val="24"/>
          <w:szCs w:val="24"/>
          <w:lang w:val="en-GB"/>
        </w:rPr>
      </w:pPr>
      <w:r>
        <w:rPr>
          <w:rFonts w:ascii="Garamond" w:hAnsi="Garamond"/>
          <w:color w:val="232021"/>
          <w:sz w:val="24"/>
          <w:szCs w:val="24"/>
        </w:rPr>
        <w:t>Thus the supreme law of the land contains provisions</w:t>
      </w:r>
      <w:r w:rsidRPr="00CE427F">
        <w:rPr>
          <w:rFonts w:ascii="Garamond" w:hAnsi="Garamond"/>
          <w:color w:val="232021"/>
          <w:sz w:val="24"/>
          <w:szCs w:val="24"/>
        </w:rPr>
        <w:t xml:space="preserve"> which </w:t>
      </w:r>
      <w:r>
        <w:rPr>
          <w:rFonts w:ascii="Garamond" w:hAnsi="Garamond"/>
          <w:color w:val="232021"/>
          <w:sz w:val="24"/>
          <w:szCs w:val="24"/>
        </w:rPr>
        <w:t xml:space="preserve">serve as a </w:t>
      </w:r>
      <w:r w:rsidRPr="00CE427F">
        <w:rPr>
          <w:rFonts w:ascii="Garamond" w:hAnsi="Garamond"/>
          <w:color w:val="232021"/>
          <w:sz w:val="24"/>
          <w:szCs w:val="24"/>
        </w:rPr>
        <w:t>major springboard for subsequent legislations in the management</w:t>
      </w:r>
      <w:r>
        <w:rPr>
          <w:rFonts w:ascii="Garamond" w:hAnsi="Garamond"/>
          <w:color w:val="232021"/>
          <w:sz w:val="24"/>
          <w:szCs w:val="24"/>
        </w:rPr>
        <w:t xml:space="preserve"> of environment</w:t>
      </w:r>
      <w:r w:rsidRPr="00CE427F">
        <w:rPr>
          <w:rFonts w:ascii="Garamond" w:hAnsi="Garamond"/>
          <w:color w:val="232021"/>
          <w:sz w:val="24"/>
          <w:szCs w:val="24"/>
        </w:rPr>
        <w:t>, as well as for mainstreaming environmental sustainability in the political, social and economic development sectors.</w:t>
      </w:r>
      <w:r w:rsidRPr="008E559C">
        <w:rPr>
          <w:rFonts w:ascii="Garamond" w:hAnsi="Garamond" w:cs="FuturaBT-Heavy"/>
          <w:sz w:val="24"/>
          <w:szCs w:val="24"/>
          <w:lang w:val="en-GB"/>
        </w:rPr>
        <w:t xml:space="preserve"> </w:t>
      </w:r>
      <w:r>
        <w:rPr>
          <w:rFonts w:ascii="Garamond" w:hAnsi="Garamond" w:cs="FuturaBT-Heavy"/>
          <w:sz w:val="24"/>
          <w:szCs w:val="24"/>
          <w:lang w:val="en-GB"/>
        </w:rPr>
        <w:t>Accordingly, any organ of the government shall in the formulation and implementation of development policies, strategies, plans and programs be guided by the constitutional principles.</w:t>
      </w:r>
    </w:p>
    <w:p w:rsidR="006F2EF3" w:rsidRDefault="006F2EF3" w:rsidP="00C26A15">
      <w:pPr>
        <w:pStyle w:val="Heading3"/>
        <w:spacing w:before="0" w:line="240" w:lineRule="auto"/>
        <w:rPr>
          <w:rFonts w:ascii="Garamond" w:hAnsi="Garamond"/>
          <w:b/>
        </w:rPr>
      </w:pPr>
    </w:p>
    <w:p w:rsidR="00B76720" w:rsidRDefault="007F57F8" w:rsidP="00C26A15">
      <w:pPr>
        <w:pStyle w:val="Heading3"/>
        <w:spacing w:before="0" w:line="240" w:lineRule="auto"/>
        <w:rPr>
          <w:rFonts w:ascii="Garamond" w:hAnsi="Garamond"/>
          <w:b/>
        </w:rPr>
      </w:pPr>
      <w:bookmarkStart w:id="30" w:name="_Toc486782261"/>
      <w:r>
        <w:rPr>
          <w:rFonts w:ascii="Garamond" w:hAnsi="Garamond"/>
          <w:b/>
        </w:rPr>
        <w:t>3</w:t>
      </w:r>
      <w:r w:rsidR="009E0C07">
        <w:rPr>
          <w:rFonts w:ascii="Garamond" w:hAnsi="Garamond"/>
          <w:b/>
        </w:rPr>
        <w:t xml:space="preserve">.2.2 </w:t>
      </w:r>
      <w:r w:rsidR="00B76720" w:rsidRPr="009E0C07">
        <w:rPr>
          <w:rFonts w:ascii="Garamond" w:hAnsi="Garamond"/>
          <w:b/>
        </w:rPr>
        <w:t>The National Vision</w:t>
      </w:r>
      <w:r w:rsidR="00751318">
        <w:rPr>
          <w:rFonts w:ascii="Garamond" w:hAnsi="Garamond"/>
          <w:b/>
        </w:rPr>
        <w:t xml:space="preserve"> and </w:t>
      </w:r>
      <w:r w:rsidR="00B76720" w:rsidRPr="009E0C07">
        <w:rPr>
          <w:rFonts w:ascii="Garamond" w:hAnsi="Garamond"/>
          <w:b/>
        </w:rPr>
        <w:t>Development Policy</w:t>
      </w:r>
      <w:bookmarkEnd w:id="30"/>
      <w:r w:rsidR="00751318">
        <w:rPr>
          <w:rFonts w:ascii="Garamond" w:hAnsi="Garamond"/>
          <w:b/>
        </w:rPr>
        <w:t xml:space="preserve"> </w:t>
      </w:r>
    </w:p>
    <w:p w:rsidR="00C26A15" w:rsidRPr="00C26A15" w:rsidRDefault="00C26A15" w:rsidP="00C26A15">
      <w:pPr>
        <w:spacing w:after="0" w:line="240" w:lineRule="auto"/>
      </w:pPr>
    </w:p>
    <w:p w:rsidR="00687198" w:rsidRPr="00991590" w:rsidRDefault="00687198" w:rsidP="00C26A15">
      <w:pPr>
        <w:autoSpaceDE w:val="0"/>
        <w:autoSpaceDN w:val="0"/>
        <w:adjustRightInd w:val="0"/>
        <w:spacing w:after="0" w:line="240" w:lineRule="auto"/>
        <w:rPr>
          <w:rFonts w:ascii="Garamond" w:hAnsi="Garamond" w:cs="TimesNewRomanPSMT"/>
          <w:sz w:val="24"/>
          <w:szCs w:val="24"/>
        </w:rPr>
      </w:pPr>
      <w:r w:rsidRPr="00991590">
        <w:rPr>
          <w:rFonts w:ascii="Garamond" w:hAnsi="Garamond" w:cs="TimesNewRomanPSMT"/>
          <w:sz w:val="24"/>
          <w:szCs w:val="24"/>
        </w:rPr>
        <w:t>The National Development Policy of the F</w:t>
      </w:r>
      <w:r>
        <w:rPr>
          <w:rFonts w:ascii="Garamond" w:hAnsi="Garamond" w:cs="TimesNewRomanPSMT"/>
          <w:sz w:val="24"/>
          <w:szCs w:val="24"/>
        </w:rPr>
        <w:t>DRE</w:t>
      </w:r>
      <w:r w:rsidRPr="00991590">
        <w:rPr>
          <w:rFonts w:ascii="Garamond" w:hAnsi="Garamond" w:cs="TimesNewRomanPSMT"/>
          <w:sz w:val="24"/>
          <w:szCs w:val="24"/>
        </w:rPr>
        <w:t xml:space="preserve"> is</w:t>
      </w:r>
      <w:r w:rsidRPr="00991590">
        <w:rPr>
          <w:rFonts w:ascii="Garamond" w:hAnsi="Garamond" w:cs="TimesNewRomanPSMT"/>
          <w:bCs/>
          <w:sz w:val="24"/>
          <w:szCs w:val="24"/>
        </w:rPr>
        <w:t xml:space="preserve"> </w:t>
      </w:r>
      <w:r>
        <w:rPr>
          <w:rFonts w:ascii="Garamond" w:hAnsi="Garamond" w:cs="TimesNewRomanPSMT"/>
          <w:bCs/>
          <w:sz w:val="24"/>
          <w:szCs w:val="24"/>
        </w:rPr>
        <w:t xml:space="preserve">to </w:t>
      </w:r>
      <w:r w:rsidRPr="00991590">
        <w:rPr>
          <w:rFonts w:ascii="Garamond" w:hAnsi="Garamond" w:cs="TimesNewRomanPSMT"/>
          <w:bCs/>
          <w:sz w:val="24"/>
          <w:szCs w:val="24"/>
        </w:rPr>
        <w:t xml:space="preserve">build a market-oriented economy </w:t>
      </w:r>
      <w:r>
        <w:rPr>
          <w:rFonts w:ascii="Garamond" w:hAnsi="Garamond" w:cs="TimesNewRomanPSMT"/>
          <w:bCs/>
          <w:sz w:val="24"/>
          <w:szCs w:val="24"/>
        </w:rPr>
        <w:t>with the following objectives</w:t>
      </w:r>
      <w:r w:rsidRPr="00991590">
        <w:rPr>
          <w:rFonts w:ascii="Garamond" w:hAnsi="Garamond" w:cs="TimesNewRomanPSMT"/>
          <w:sz w:val="24"/>
          <w:szCs w:val="24"/>
        </w:rPr>
        <w:t>:</w:t>
      </w:r>
    </w:p>
    <w:p w:rsidR="00687198" w:rsidRPr="00991590" w:rsidRDefault="00687198" w:rsidP="00F82810">
      <w:pPr>
        <w:pStyle w:val="ListParagraph"/>
        <w:numPr>
          <w:ilvl w:val="0"/>
          <w:numId w:val="2"/>
        </w:numPr>
        <w:autoSpaceDE w:val="0"/>
        <w:autoSpaceDN w:val="0"/>
        <w:adjustRightInd w:val="0"/>
        <w:spacing w:after="0" w:line="240" w:lineRule="auto"/>
        <w:rPr>
          <w:rFonts w:ascii="Garamond" w:hAnsi="Garamond" w:cs="TimesNewRomanPSMT"/>
          <w:sz w:val="24"/>
          <w:szCs w:val="24"/>
        </w:rPr>
      </w:pPr>
      <w:r>
        <w:rPr>
          <w:rFonts w:ascii="Garamond" w:hAnsi="Garamond" w:cs="TimesNewRomanPSMT"/>
          <w:sz w:val="24"/>
          <w:szCs w:val="24"/>
        </w:rPr>
        <w:t xml:space="preserve">Enhance the participation of </w:t>
      </w:r>
      <w:r w:rsidRPr="00991590">
        <w:rPr>
          <w:rFonts w:ascii="Garamond" w:hAnsi="Garamond" w:cs="TimesNewRomanPSMT"/>
          <w:sz w:val="24"/>
          <w:szCs w:val="24"/>
        </w:rPr>
        <w:t>all  Ethiopian peoples</w:t>
      </w:r>
      <w:r>
        <w:rPr>
          <w:rFonts w:ascii="Garamond" w:hAnsi="Garamond" w:cs="TimesNewRomanPSMT"/>
          <w:sz w:val="24"/>
          <w:szCs w:val="24"/>
        </w:rPr>
        <w:t xml:space="preserve"> both in the process and outcome</w:t>
      </w:r>
      <w:r w:rsidRPr="00991590">
        <w:rPr>
          <w:rFonts w:ascii="Garamond" w:hAnsi="Garamond" w:cs="TimesNewRomanPSMT"/>
          <w:sz w:val="24"/>
          <w:szCs w:val="24"/>
        </w:rPr>
        <w:t xml:space="preserve">, </w:t>
      </w:r>
    </w:p>
    <w:p w:rsidR="00687198" w:rsidRPr="00991590" w:rsidRDefault="00687198" w:rsidP="00F82810">
      <w:pPr>
        <w:pStyle w:val="ListParagraph"/>
        <w:numPr>
          <w:ilvl w:val="0"/>
          <w:numId w:val="2"/>
        </w:numPr>
        <w:autoSpaceDE w:val="0"/>
        <w:autoSpaceDN w:val="0"/>
        <w:adjustRightInd w:val="0"/>
        <w:spacing w:after="0" w:line="240" w:lineRule="auto"/>
        <w:rPr>
          <w:rFonts w:ascii="Garamond" w:hAnsi="Garamond" w:cs="TimesNewRomanPSMT"/>
          <w:sz w:val="24"/>
          <w:szCs w:val="24"/>
        </w:rPr>
      </w:pPr>
      <w:r>
        <w:rPr>
          <w:rFonts w:ascii="Garamond" w:hAnsi="Garamond" w:cs="TimesNewRomanPSMT"/>
          <w:sz w:val="24"/>
          <w:szCs w:val="24"/>
        </w:rPr>
        <w:t>E</w:t>
      </w:r>
      <w:r w:rsidRPr="00991590">
        <w:rPr>
          <w:rFonts w:ascii="Garamond" w:hAnsi="Garamond" w:cs="TimesNewRomanPSMT"/>
          <w:sz w:val="24"/>
          <w:szCs w:val="24"/>
        </w:rPr>
        <w:t xml:space="preserve">nsure food security, </w:t>
      </w:r>
    </w:p>
    <w:p w:rsidR="00687198" w:rsidRPr="00991590" w:rsidRDefault="00687198" w:rsidP="00F82810">
      <w:pPr>
        <w:numPr>
          <w:ilvl w:val="0"/>
          <w:numId w:val="2"/>
        </w:numPr>
        <w:autoSpaceDE w:val="0"/>
        <w:autoSpaceDN w:val="0"/>
        <w:adjustRightInd w:val="0"/>
        <w:spacing w:after="0" w:line="240" w:lineRule="auto"/>
        <w:rPr>
          <w:rFonts w:ascii="Garamond" w:hAnsi="Garamond" w:cs="TimesNewRomanPSMT"/>
          <w:sz w:val="24"/>
          <w:szCs w:val="24"/>
        </w:rPr>
      </w:pPr>
      <w:r>
        <w:rPr>
          <w:rFonts w:ascii="Garamond" w:hAnsi="Garamond" w:cs="TimesNewRomanPSMT"/>
          <w:sz w:val="24"/>
          <w:szCs w:val="24"/>
        </w:rPr>
        <w:t>A</w:t>
      </w:r>
      <w:r w:rsidRPr="00991590">
        <w:rPr>
          <w:rFonts w:ascii="Garamond" w:hAnsi="Garamond" w:cs="TimesNewRomanPSMT"/>
          <w:sz w:val="24"/>
          <w:szCs w:val="24"/>
        </w:rPr>
        <w:t>ttain sustained economic growth and social development,</w:t>
      </w:r>
      <w:r>
        <w:rPr>
          <w:rFonts w:ascii="Garamond" w:hAnsi="Garamond" w:cs="TimesNewRomanPSMT"/>
          <w:sz w:val="24"/>
          <w:szCs w:val="24"/>
        </w:rPr>
        <w:t xml:space="preserve"> and</w:t>
      </w:r>
    </w:p>
    <w:p w:rsidR="00687198" w:rsidRPr="00991590" w:rsidRDefault="00687198" w:rsidP="00F82810">
      <w:pPr>
        <w:numPr>
          <w:ilvl w:val="0"/>
          <w:numId w:val="2"/>
        </w:numPr>
        <w:autoSpaceDE w:val="0"/>
        <w:autoSpaceDN w:val="0"/>
        <w:adjustRightInd w:val="0"/>
        <w:spacing w:after="0" w:line="240" w:lineRule="auto"/>
        <w:rPr>
          <w:rFonts w:ascii="Garamond" w:hAnsi="Garamond" w:cs="TimesNewRomanPSMT"/>
          <w:sz w:val="24"/>
          <w:szCs w:val="24"/>
        </w:rPr>
      </w:pPr>
      <w:r w:rsidRPr="00991590">
        <w:rPr>
          <w:rFonts w:ascii="Garamond" w:hAnsi="Garamond" w:cs="TimesNewRomanPSMT"/>
          <w:sz w:val="24"/>
          <w:szCs w:val="24"/>
        </w:rPr>
        <w:t>Ensure environmental sustainability</w:t>
      </w:r>
      <w:r>
        <w:rPr>
          <w:rFonts w:ascii="Garamond" w:hAnsi="Garamond" w:cs="TimesNewRomanPSMT"/>
          <w:sz w:val="24"/>
          <w:szCs w:val="24"/>
        </w:rPr>
        <w:t>.</w:t>
      </w:r>
      <w:r w:rsidRPr="00991590">
        <w:rPr>
          <w:rFonts w:ascii="Garamond" w:hAnsi="Garamond" w:cs="TimesNewRomanPSMT"/>
          <w:sz w:val="24"/>
          <w:szCs w:val="24"/>
        </w:rPr>
        <w:t xml:space="preserve"> </w:t>
      </w:r>
    </w:p>
    <w:p w:rsidR="00687198" w:rsidRPr="00214228" w:rsidRDefault="00687198" w:rsidP="00C26A15">
      <w:pPr>
        <w:autoSpaceDE w:val="0"/>
        <w:autoSpaceDN w:val="0"/>
        <w:adjustRightInd w:val="0"/>
        <w:spacing w:after="0" w:line="240" w:lineRule="auto"/>
        <w:jc w:val="both"/>
        <w:rPr>
          <w:rFonts w:ascii="Garamond" w:hAnsi="Garamond"/>
          <w:sz w:val="24"/>
          <w:szCs w:val="24"/>
        </w:rPr>
      </w:pPr>
      <w:r w:rsidRPr="00214228">
        <w:rPr>
          <w:rFonts w:ascii="Garamond" w:hAnsi="Garamond"/>
          <w:sz w:val="24"/>
          <w:szCs w:val="24"/>
        </w:rPr>
        <w:t>Ethiopia’s vision</w:t>
      </w:r>
      <w:r>
        <w:rPr>
          <w:rFonts w:ascii="Garamond" w:hAnsi="Garamond"/>
          <w:sz w:val="24"/>
          <w:szCs w:val="24"/>
        </w:rPr>
        <w:t xml:space="preserve"> is</w:t>
      </w:r>
      <w:r w:rsidRPr="00214228">
        <w:rPr>
          <w:rFonts w:ascii="Garamond" w:hAnsi="Garamond"/>
          <w:sz w:val="24"/>
          <w:szCs w:val="24"/>
        </w:rPr>
        <w:t>:</w:t>
      </w:r>
    </w:p>
    <w:p w:rsidR="00687198" w:rsidRPr="00C04254" w:rsidRDefault="00687198" w:rsidP="00C26A15">
      <w:pPr>
        <w:spacing w:after="0" w:line="240" w:lineRule="auto"/>
        <w:ind w:left="567" w:right="567"/>
        <w:jc w:val="both"/>
        <w:rPr>
          <w:rFonts w:ascii="Garamond" w:hAnsi="Garamond"/>
          <w:sz w:val="24"/>
          <w:szCs w:val="24"/>
        </w:rPr>
      </w:pPr>
      <w:r w:rsidRPr="00C04254">
        <w:rPr>
          <w:rFonts w:ascii="Garamond" w:hAnsi="Garamond"/>
          <w:sz w:val="24"/>
          <w:szCs w:val="24"/>
        </w:rPr>
        <w:t xml:space="preserve">“to become a country where democratic rule, good-governance and social justice reign, upon the involvement and free will of its peoples, and once extricating itself from poverty to reach the level of a middle-income economy as of 2025” (MoFED, 2010:21). </w:t>
      </w:r>
    </w:p>
    <w:p w:rsidR="00687198" w:rsidRPr="00214228" w:rsidRDefault="00687198" w:rsidP="00C26A15">
      <w:pPr>
        <w:spacing w:after="0" w:line="240" w:lineRule="auto"/>
        <w:jc w:val="both"/>
        <w:rPr>
          <w:rFonts w:ascii="Garamond" w:hAnsi="Garamond"/>
          <w:sz w:val="24"/>
          <w:szCs w:val="24"/>
        </w:rPr>
      </w:pPr>
      <w:r w:rsidRPr="00214228">
        <w:rPr>
          <w:rFonts w:ascii="Garamond" w:hAnsi="Garamond"/>
          <w:sz w:val="24"/>
          <w:szCs w:val="24"/>
        </w:rPr>
        <w:t xml:space="preserve">The country’s </w:t>
      </w:r>
      <w:r>
        <w:rPr>
          <w:rFonts w:ascii="Garamond" w:hAnsi="Garamond"/>
          <w:sz w:val="24"/>
          <w:szCs w:val="24"/>
        </w:rPr>
        <w:t xml:space="preserve">long-term economic </w:t>
      </w:r>
      <w:r w:rsidRPr="00214228">
        <w:rPr>
          <w:rFonts w:ascii="Garamond" w:hAnsi="Garamond"/>
          <w:sz w:val="24"/>
          <w:szCs w:val="24"/>
        </w:rPr>
        <w:t xml:space="preserve">vision </w:t>
      </w:r>
      <w:r>
        <w:rPr>
          <w:rFonts w:ascii="Garamond" w:hAnsi="Garamond"/>
          <w:sz w:val="24"/>
          <w:szCs w:val="24"/>
        </w:rPr>
        <w:t xml:space="preserve">is: </w:t>
      </w:r>
    </w:p>
    <w:p w:rsidR="00687198" w:rsidRDefault="00687198" w:rsidP="00C26A15">
      <w:pPr>
        <w:spacing w:after="0" w:line="240" w:lineRule="auto"/>
        <w:ind w:left="567" w:right="567"/>
        <w:jc w:val="both"/>
        <w:rPr>
          <w:rFonts w:ascii="Garamond" w:hAnsi="Garamond"/>
          <w:sz w:val="24"/>
          <w:szCs w:val="24"/>
        </w:rPr>
      </w:pPr>
      <w:r w:rsidRPr="00C04254">
        <w:rPr>
          <w:rFonts w:ascii="Garamond" w:hAnsi="Garamond"/>
          <w:sz w:val="24"/>
          <w:szCs w:val="24"/>
        </w:rPr>
        <w:t xml:space="preserve">“building an economy which has a modern and productive agricultural sector with enhanced technology and an industrial sector that plays a leading role in the economy, sustaining economic development and securing social justice and increasing per capita income of the citizens so as to reach the level of those in middle-income countries” (MoFED, 2010:21). </w:t>
      </w:r>
    </w:p>
    <w:p w:rsidR="009E0C07" w:rsidRPr="00C04254" w:rsidRDefault="009E0C07" w:rsidP="00C26A15">
      <w:pPr>
        <w:spacing w:after="0" w:line="240" w:lineRule="auto"/>
        <w:ind w:left="562" w:right="562"/>
        <w:jc w:val="both"/>
        <w:rPr>
          <w:rFonts w:ascii="Garamond" w:hAnsi="Garamond"/>
          <w:sz w:val="24"/>
          <w:szCs w:val="24"/>
        </w:rPr>
      </w:pPr>
    </w:p>
    <w:p w:rsidR="00687198" w:rsidRPr="00D44AE3" w:rsidRDefault="007F57F8" w:rsidP="00C26A15">
      <w:pPr>
        <w:pStyle w:val="Heading3"/>
        <w:spacing w:before="0" w:line="240" w:lineRule="auto"/>
        <w:rPr>
          <w:rFonts w:ascii="Garamond" w:hAnsi="Garamond"/>
          <w:b/>
        </w:rPr>
      </w:pPr>
      <w:bookmarkStart w:id="31" w:name="_Toc436575340"/>
      <w:bookmarkStart w:id="32" w:name="_Toc486782262"/>
      <w:r>
        <w:rPr>
          <w:rFonts w:ascii="Garamond" w:hAnsi="Garamond"/>
          <w:b/>
        </w:rPr>
        <w:t>3</w:t>
      </w:r>
      <w:r w:rsidR="00687198" w:rsidRPr="00D44AE3">
        <w:rPr>
          <w:rFonts w:ascii="Garamond" w:hAnsi="Garamond"/>
          <w:b/>
        </w:rPr>
        <w:t>.</w:t>
      </w:r>
      <w:r w:rsidR="009E0C07" w:rsidRPr="00D44AE3">
        <w:rPr>
          <w:rFonts w:ascii="Garamond" w:hAnsi="Garamond"/>
          <w:b/>
        </w:rPr>
        <w:t>2</w:t>
      </w:r>
      <w:r w:rsidR="00687198" w:rsidRPr="00D44AE3">
        <w:rPr>
          <w:rFonts w:ascii="Garamond" w:hAnsi="Garamond"/>
          <w:b/>
        </w:rPr>
        <w:t>.3 Development strategies</w:t>
      </w:r>
      <w:bookmarkEnd w:id="31"/>
      <w:bookmarkEnd w:id="32"/>
      <w:r w:rsidR="00687198" w:rsidRPr="00D44AE3">
        <w:rPr>
          <w:rFonts w:ascii="Garamond" w:hAnsi="Garamond"/>
          <w:b/>
        </w:rPr>
        <w:tab/>
      </w:r>
    </w:p>
    <w:p w:rsidR="00687198" w:rsidRDefault="00687198" w:rsidP="00C26A15">
      <w:pPr>
        <w:spacing w:after="0" w:line="240" w:lineRule="auto"/>
        <w:jc w:val="both"/>
        <w:rPr>
          <w:rFonts w:ascii="Garamond" w:hAnsi="Garamond"/>
          <w:sz w:val="24"/>
          <w:szCs w:val="24"/>
        </w:rPr>
      </w:pPr>
      <w:bookmarkStart w:id="33" w:name="_Toc397862234"/>
    </w:p>
    <w:bookmarkEnd w:id="33"/>
    <w:p w:rsidR="00687198" w:rsidRDefault="00687198" w:rsidP="00C26A15">
      <w:pPr>
        <w:spacing w:after="0" w:line="240" w:lineRule="auto"/>
        <w:jc w:val="both"/>
        <w:rPr>
          <w:rFonts w:ascii="Garamond" w:eastAsia="Calibri" w:hAnsi="Garamond"/>
          <w:sz w:val="24"/>
          <w:szCs w:val="24"/>
        </w:rPr>
      </w:pPr>
      <w:r w:rsidRPr="00B4730F">
        <w:rPr>
          <w:rFonts w:ascii="Garamond" w:hAnsi="Garamond"/>
          <w:sz w:val="24"/>
          <w:szCs w:val="24"/>
        </w:rPr>
        <w:t xml:space="preserve">Ethiopia has been a champion of </w:t>
      </w:r>
      <w:r>
        <w:rPr>
          <w:rFonts w:ascii="Garamond" w:hAnsi="Garamond"/>
          <w:sz w:val="24"/>
          <w:szCs w:val="24"/>
        </w:rPr>
        <w:t xml:space="preserve">sustainable development (SD) </w:t>
      </w:r>
      <w:r w:rsidRPr="00B4730F">
        <w:rPr>
          <w:rFonts w:ascii="Garamond" w:hAnsi="Garamond"/>
          <w:sz w:val="24"/>
          <w:szCs w:val="24"/>
        </w:rPr>
        <w:t xml:space="preserve">paradigm as reflected in landmark </w:t>
      </w:r>
      <w:r>
        <w:rPr>
          <w:rFonts w:ascii="Garamond" w:hAnsi="Garamond"/>
          <w:sz w:val="24"/>
          <w:szCs w:val="24"/>
        </w:rPr>
        <w:t xml:space="preserve">of </w:t>
      </w:r>
      <w:r w:rsidRPr="00B4730F">
        <w:rPr>
          <w:rFonts w:ascii="Garamond" w:hAnsi="Garamond"/>
          <w:sz w:val="24"/>
          <w:szCs w:val="24"/>
        </w:rPr>
        <w:t>SD</w:t>
      </w:r>
      <w:r>
        <w:rPr>
          <w:rFonts w:ascii="Garamond" w:hAnsi="Garamond"/>
          <w:sz w:val="24"/>
          <w:szCs w:val="24"/>
        </w:rPr>
        <w:t>-r</w:t>
      </w:r>
      <w:r w:rsidRPr="00B4730F">
        <w:rPr>
          <w:rFonts w:ascii="Garamond" w:hAnsi="Garamond"/>
          <w:sz w:val="24"/>
          <w:szCs w:val="24"/>
        </w:rPr>
        <w:t xml:space="preserve">elated policies and initiatives since the early 1990s (Figure </w:t>
      </w:r>
      <w:r>
        <w:rPr>
          <w:rFonts w:ascii="Garamond" w:hAnsi="Garamond"/>
          <w:sz w:val="24"/>
          <w:szCs w:val="24"/>
        </w:rPr>
        <w:t>3</w:t>
      </w:r>
      <w:r w:rsidRPr="00B4730F">
        <w:rPr>
          <w:rFonts w:ascii="Garamond" w:hAnsi="Garamond"/>
          <w:sz w:val="24"/>
          <w:szCs w:val="24"/>
        </w:rPr>
        <w:t xml:space="preserve">). </w:t>
      </w:r>
      <w:r w:rsidR="00D61F82">
        <w:rPr>
          <w:rFonts w:ascii="Garamond" w:hAnsi="Garamond"/>
          <w:sz w:val="24"/>
          <w:szCs w:val="24"/>
        </w:rPr>
        <w:t>Agricultural Development Led Industrialization (</w:t>
      </w:r>
      <w:r w:rsidRPr="001731F1">
        <w:rPr>
          <w:rFonts w:ascii="Garamond" w:eastAsia="Calibri" w:hAnsi="Garamond"/>
          <w:sz w:val="24"/>
          <w:szCs w:val="24"/>
        </w:rPr>
        <w:t>ADLI</w:t>
      </w:r>
      <w:r w:rsidR="00D61F82">
        <w:rPr>
          <w:rFonts w:ascii="Garamond" w:eastAsia="Calibri" w:hAnsi="Garamond"/>
          <w:sz w:val="24"/>
          <w:szCs w:val="24"/>
        </w:rPr>
        <w:t>)</w:t>
      </w:r>
      <w:r w:rsidRPr="001731F1">
        <w:rPr>
          <w:rFonts w:ascii="Garamond" w:eastAsia="Calibri" w:hAnsi="Garamond"/>
          <w:sz w:val="24"/>
          <w:szCs w:val="24"/>
        </w:rPr>
        <w:t xml:space="preserve"> is </w:t>
      </w:r>
      <w:r>
        <w:rPr>
          <w:rFonts w:ascii="Garamond" w:eastAsia="Calibri" w:hAnsi="Garamond"/>
          <w:sz w:val="24"/>
          <w:szCs w:val="24"/>
        </w:rPr>
        <w:t xml:space="preserve">a </w:t>
      </w:r>
      <w:r w:rsidRPr="001731F1">
        <w:rPr>
          <w:rFonts w:ascii="Garamond" w:eastAsia="Calibri" w:hAnsi="Garamond"/>
          <w:sz w:val="24"/>
          <w:szCs w:val="24"/>
        </w:rPr>
        <w:t xml:space="preserve">National Development Strategy that aims to achieve initial industrialization through robust agricultural growth and </w:t>
      </w:r>
      <w:r>
        <w:rPr>
          <w:rFonts w:ascii="Garamond" w:eastAsia="Calibri" w:hAnsi="Garamond"/>
          <w:sz w:val="24"/>
          <w:szCs w:val="24"/>
        </w:rPr>
        <w:t xml:space="preserve">establishes </w:t>
      </w:r>
      <w:r w:rsidRPr="001731F1">
        <w:rPr>
          <w:rFonts w:ascii="Garamond" w:eastAsia="Calibri" w:hAnsi="Garamond"/>
          <w:sz w:val="24"/>
          <w:szCs w:val="24"/>
        </w:rPr>
        <w:t>close linkage between the agricultural and the industrial sectors</w:t>
      </w:r>
      <w:r>
        <w:rPr>
          <w:rFonts w:ascii="Garamond" w:eastAsia="Calibri" w:hAnsi="Garamond"/>
          <w:sz w:val="24"/>
          <w:szCs w:val="24"/>
        </w:rPr>
        <w:t xml:space="preserve"> (Walleligne, 2015)</w:t>
      </w:r>
      <w:r w:rsidRPr="001731F1">
        <w:rPr>
          <w:rFonts w:ascii="Garamond" w:eastAsia="Calibri" w:hAnsi="Garamond"/>
          <w:sz w:val="24"/>
          <w:szCs w:val="24"/>
        </w:rPr>
        <w:t>.</w:t>
      </w:r>
      <w:r w:rsidRPr="001731F1">
        <w:rPr>
          <w:rFonts w:eastAsia="+mn-ea"/>
          <w:color w:val="000000"/>
          <w:kern w:val="24"/>
          <w:sz w:val="48"/>
          <w:szCs w:val="48"/>
        </w:rPr>
        <w:t xml:space="preserve"> </w:t>
      </w:r>
      <w:r w:rsidRPr="001731F1">
        <w:rPr>
          <w:rFonts w:ascii="Garamond" w:eastAsia="Calibri" w:hAnsi="Garamond"/>
          <w:sz w:val="24"/>
          <w:szCs w:val="24"/>
        </w:rPr>
        <w:t>It envisages an economically transformed society within which agriculture will grow rapidly and sustainably and provides long-term development framework for economic transformation.</w:t>
      </w:r>
      <w:r>
        <w:rPr>
          <w:rFonts w:ascii="Garamond" w:eastAsia="Calibri" w:hAnsi="Garamond"/>
          <w:sz w:val="24"/>
          <w:szCs w:val="24"/>
        </w:rPr>
        <w:t xml:space="preserve"> </w:t>
      </w:r>
      <w:r w:rsidRPr="001731F1">
        <w:rPr>
          <w:rFonts w:ascii="Garamond" w:eastAsia="Calibri" w:hAnsi="Garamond"/>
          <w:sz w:val="24"/>
          <w:szCs w:val="24"/>
        </w:rPr>
        <w:t xml:space="preserve">ADLI focuses on poverty reduction and </w:t>
      </w:r>
      <w:r w:rsidRPr="001731F1">
        <w:rPr>
          <w:rFonts w:ascii="Garamond" w:eastAsia="Calibri" w:hAnsi="Garamond"/>
          <w:sz w:val="24"/>
          <w:szCs w:val="24"/>
        </w:rPr>
        <w:lastRenderedPageBreak/>
        <w:t xml:space="preserve">sustainable development and gears towards sustainable use </w:t>
      </w:r>
      <w:r>
        <w:rPr>
          <w:rFonts w:ascii="Garamond" w:eastAsia="Calibri" w:hAnsi="Garamond"/>
          <w:sz w:val="24"/>
          <w:szCs w:val="24"/>
        </w:rPr>
        <w:t xml:space="preserve">of </w:t>
      </w:r>
      <w:r w:rsidRPr="001731F1">
        <w:rPr>
          <w:rFonts w:ascii="Garamond" w:eastAsia="Calibri" w:hAnsi="Garamond"/>
          <w:sz w:val="24"/>
          <w:szCs w:val="24"/>
        </w:rPr>
        <w:t>the country’s resources</w:t>
      </w:r>
      <w:r>
        <w:rPr>
          <w:rFonts w:ascii="Garamond" w:eastAsia="Calibri" w:hAnsi="Garamond"/>
          <w:sz w:val="24"/>
          <w:szCs w:val="24"/>
        </w:rPr>
        <w:t xml:space="preserve"> such as l</w:t>
      </w:r>
      <w:r w:rsidRPr="001731F1">
        <w:rPr>
          <w:rFonts w:ascii="Garamond" w:eastAsia="Calibri" w:hAnsi="Garamond"/>
          <w:sz w:val="24"/>
          <w:szCs w:val="24"/>
        </w:rPr>
        <w:t>and</w:t>
      </w:r>
      <w:r>
        <w:rPr>
          <w:rFonts w:ascii="Garamond" w:eastAsia="Calibri" w:hAnsi="Garamond"/>
          <w:sz w:val="24"/>
          <w:szCs w:val="24"/>
        </w:rPr>
        <w:t xml:space="preserve"> and water. ADLI is the basis of all sectoral development strategies and plans. </w:t>
      </w:r>
    </w:p>
    <w:p w:rsidR="00687198" w:rsidRDefault="00687198" w:rsidP="00C26A15">
      <w:pPr>
        <w:spacing w:after="0" w:line="240" w:lineRule="auto"/>
        <w:jc w:val="both"/>
        <w:rPr>
          <w:rFonts w:ascii="Garamond" w:hAnsi="Garamond"/>
          <w:sz w:val="24"/>
          <w:szCs w:val="24"/>
        </w:rPr>
      </w:pPr>
    </w:p>
    <w:p w:rsidR="00C5635A" w:rsidRDefault="00687198" w:rsidP="00C5635A">
      <w:pPr>
        <w:spacing w:after="0" w:line="240" w:lineRule="auto"/>
        <w:jc w:val="both"/>
        <w:rPr>
          <w:rFonts w:ascii="Garamond" w:hAnsi="Garamond"/>
          <w:sz w:val="24"/>
          <w:szCs w:val="24"/>
        </w:rPr>
      </w:pPr>
      <w:r w:rsidRPr="00B4730F">
        <w:rPr>
          <w:rFonts w:ascii="Garamond" w:hAnsi="Garamond"/>
          <w:sz w:val="24"/>
          <w:szCs w:val="24"/>
        </w:rPr>
        <w:t>On the environmental front, the process of greening Ethiopia’s economy started as early as the 1990s. The introduction of regulations to manage pollution from the palm oil industry was one of the fir</w:t>
      </w:r>
      <w:r>
        <w:rPr>
          <w:rFonts w:ascii="Garamond" w:hAnsi="Garamond"/>
          <w:sz w:val="24"/>
          <w:szCs w:val="24"/>
        </w:rPr>
        <w:t>st greening steps taken by the g</w:t>
      </w:r>
      <w:r w:rsidRPr="00B4730F">
        <w:rPr>
          <w:rFonts w:ascii="Garamond" w:hAnsi="Garamond"/>
          <w:sz w:val="24"/>
          <w:szCs w:val="24"/>
        </w:rPr>
        <w:t xml:space="preserve">overnment. The step-wise greening approach thus far, consisted of the formulation of supporting policies, mainly at sectoral level, for the transition to the green economy. To date, the most comprehensive and consolidated green economy framework is the </w:t>
      </w:r>
      <w:r>
        <w:rPr>
          <w:rFonts w:ascii="Garamond" w:hAnsi="Garamond"/>
          <w:sz w:val="24"/>
          <w:szCs w:val="24"/>
        </w:rPr>
        <w:t>Climate Resilient Green Economy (</w:t>
      </w:r>
      <w:r w:rsidRPr="00B4730F">
        <w:rPr>
          <w:rFonts w:ascii="Garamond" w:hAnsi="Garamond"/>
          <w:sz w:val="24"/>
          <w:szCs w:val="24"/>
        </w:rPr>
        <w:t>CRGE</w:t>
      </w:r>
      <w:r>
        <w:rPr>
          <w:rFonts w:ascii="Garamond" w:hAnsi="Garamond"/>
          <w:sz w:val="24"/>
          <w:szCs w:val="24"/>
        </w:rPr>
        <w:t>) Strategy (FDRE, 2011).</w:t>
      </w:r>
      <w:bookmarkStart w:id="34" w:name="_Toc436575005"/>
    </w:p>
    <w:p w:rsidR="003A4B6B" w:rsidRPr="00FF0822" w:rsidRDefault="00FF0822" w:rsidP="00C5635A">
      <w:pPr>
        <w:spacing w:after="0" w:line="240" w:lineRule="auto"/>
        <w:jc w:val="both"/>
        <w:rPr>
          <w:rFonts w:ascii="Garamond" w:hAnsi="Garamond"/>
        </w:rPr>
      </w:pPr>
      <w:bookmarkStart w:id="35" w:name="_Toc486585938"/>
      <w:r w:rsidRPr="00FF0822">
        <w:rPr>
          <w:rFonts w:ascii="Garamond" w:hAnsi="Garamond"/>
        </w:rPr>
        <w:t xml:space="preserve">Figure </w:t>
      </w:r>
      <w:r w:rsidR="00BF3BBC" w:rsidRPr="00FF0822">
        <w:rPr>
          <w:rFonts w:ascii="Garamond" w:hAnsi="Garamond"/>
        </w:rPr>
        <w:fldChar w:fldCharType="begin"/>
      </w:r>
      <w:r w:rsidRPr="00FF0822">
        <w:rPr>
          <w:rFonts w:ascii="Garamond" w:hAnsi="Garamond"/>
        </w:rPr>
        <w:instrText xml:space="preserve"> SEQ Figure \* ARABIC </w:instrText>
      </w:r>
      <w:r w:rsidR="00BF3BBC" w:rsidRPr="00FF0822">
        <w:rPr>
          <w:rFonts w:ascii="Garamond" w:hAnsi="Garamond"/>
        </w:rPr>
        <w:fldChar w:fldCharType="separate"/>
      </w:r>
      <w:r w:rsidR="006C24A4">
        <w:rPr>
          <w:rFonts w:ascii="Garamond" w:hAnsi="Garamond"/>
          <w:noProof/>
        </w:rPr>
        <w:t>3</w:t>
      </w:r>
      <w:r w:rsidR="00BF3BBC" w:rsidRPr="00FF0822">
        <w:rPr>
          <w:rFonts w:ascii="Garamond" w:hAnsi="Garamond"/>
        </w:rPr>
        <w:fldChar w:fldCharType="end"/>
      </w:r>
      <w:r w:rsidR="003A4B6B" w:rsidRPr="00FF0822">
        <w:rPr>
          <w:rFonts w:ascii="Garamond" w:hAnsi="Garamond"/>
        </w:rPr>
        <w:t>: Evolution of sectoral development policies and strategies</w:t>
      </w:r>
      <w:bookmarkEnd w:id="34"/>
      <w:bookmarkEnd w:id="35"/>
    </w:p>
    <w:p w:rsidR="00687198" w:rsidRPr="00B84276" w:rsidRDefault="00687198" w:rsidP="00C26A15">
      <w:pPr>
        <w:spacing w:after="0" w:line="240" w:lineRule="auto"/>
        <w:jc w:val="both"/>
        <w:rPr>
          <w:rFonts w:ascii="Garamond" w:hAnsi="Garamond"/>
          <w:sz w:val="24"/>
          <w:szCs w:val="24"/>
        </w:rPr>
      </w:pPr>
      <w:r w:rsidRPr="00BC6AC9">
        <w:rPr>
          <w:rFonts w:ascii="Garamond" w:hAnsi="Garamond"/>
          <w:noProof/>
          <w:sz w:val="24"/>
          <w:szCs w:val="24"/>
        </w:rPr>
        <w:drawing>
          <wp:inline distT="0" distB="0" distL="0" distR="0">
            <wp:extent cx="6562090" cy="313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565581" cy="3132215"/>
                    </a:xfrm>
                    <a:prstGeom prst="rect">
                      <a:avLst/>
                    </a:prstGeom>
                  </pic:spPr>
                </pic:pic>
              </a:graphicData>
            </a:graphic>
          </wp:inline>
        </w:drawing>
      </w:r>
    </w:p>
    <w:p w:rsidR="00687198" w:rsidRDefault="003A4B6B" w:rsidP="00C26A15">
      <w:pPr>
        <w:spacing w:after="0" w:line="240" w:lineRule="auto"/>
        <w:jc w:val="both"/>
        <w:rPr>
          <w:rFonts w:ascii="Garamond" w:hAnsi="Garamond"/>
          <w:sz w:val="24"/>
          <w:szCs w:val="24"/>
        </w:rPr>
      </w:pPr>
      <w:r>
        <w:rPr>
          <w:rFonts w:ascii="Garamond" w:hAnsi="Garamond"/>
          <w:sz w:val="24"/>
          <w:szCs w:val="24"/>
        </w:rPr>
        <w:t xml:space="preserve">Source: </w:t>
      </w:r>
      <w:r w:rsidR="001835EB">
        <w:rPr>
          <w:rFonts w:ascii="Garamond" w:hAnsi="Garamond"/>
          <w:sz w:val="24"/>
          <w:szCs w:val="24"/>
        </w:rPr>
        <w:t>UNECA (2015)</w:t>
      </w:r>
      <w:r>
        <w:rPr>
          <w:rFonts w:ascii="Garamond" w:hAnsi="Garamond"/>
          <w:sz w:val="24"/>
          <w:szCs w:val="24"/>
        </w:rPr>
        <w:t xml:space="preserve"> </w:t>
      </w:r>
    </w:p>
    <w:p w:rsidR="009749A2" w:rsidRDefault="009749A2" w:rsidP="00C26A15">
      <w:pPr>
        <w:spacing w:after="0" w:line="240" w:lineRule="auto"/>
        <w:jc w:val="both"/>
        <w:rPr>
          <w:rFonts w:ascii="Garamond" w:hAnsi="Garamond"/>
          <w:sz w:val="24"/>
          <w:szCs w:val="24"/>
        </w:rPr>
      </w:pPr>
    </w:p>
    <w:p w:rsidR="00B76720" w:rsidRPr="009E0C07" w:rsidRDefault="009749A2" w:rsidP="00C26A15">
      <w:pPr>
        <w:pStyle w:val="Heading3"/>
        <w:spacing w:before="0" w:line="240" w:lineRule="auto"/>
        <w:rPr>
          <w:rFonts w:ascii="Garamond" w:hAnsi="Garamond"/>
          <w:b/>
        </w:rPr>
      </w:pPr>
      <w:bookmarkStart w:id="36" w:name="_Toc486782263"/>
      <w:r>
        <w:rPr>
          <w:rFonts w:ascii="Garamond" w:hAnsi="Garamond"/>
          <w:b/>
        </w:rPr>
        <w:t>3.</w:t>
      </w:r>
      <w:r w:rsidR="009E0C07">
        <w:rPr>
          <w:rFonts w:ascii="Garamond" w:hAnsi="Garamond"/>
          <w:b/>
        </w:rPr>
        <w:t xml:space="preserve">2.4 </w:t>
      </w:r>
      <w:r w:rsidR="00B76720" w:rsidRPr="009E0C07">
        <w:rPr>
          <w:rFonts w:ascii="Garamond" w:hAnsi="Garamond"/>
          <w:b/>
        </w:rPr>
        <w:t>Development plans</w:t>
      </w:r>
      <w:bookmarkEnd w:id="36"/>
      <w:r w:rsidR="00B76720" w:rsidRPr="009E0C07">
        <w:rPr>
          <w:rFonts w:ascii="Garamond" w:hAnsi="Garamond"/>
          <w:b/>
        </w:rPr>
        <w:t xml:space="preserve"> </w:t>
      </w:r>
    </w:p>
    <w:p w:rsidR="009E0C07" w:rsidRDefault="009E0C07" w:rsidP="00C26A15">
      <w:pPr>
        <w:spacing w:after="0" w:line="240" w:lineRule="auto"/>
        <w:jc w:val="both"/>
        <w:rPr>
          <w:rFonts w:ascii="Garamond" w:hAnsi="Garamond"/>
          <w:sz w:val="24"/>
          <w:szCs w:val="24"/>
        </w:rPr>
      </w:pPr>
    </w:p>
    <w:p w:rsidR="00C72DFE" w:rsidRDefault="00C72DFE" w:rsidP="00C26A15">
      <w:pPr>
        <w:spacing w:after="0" w:line="240" w:lineRule="auto"/>
        <w:jc w:val="both"/>
        <w:rPr>
          <w:rFonts w:ascii="Garamond" w:eastAsia="Calibri" w:hAnsi="Garamond"/>
          <w:sz w:val="24"/>
          <w:szCs w:val="24"/>
        </w:rPr>
      </w:pPr>
      <w:r w:rsidRPr="00C72DFE">
        <w:rPr>
          <w:rFonts w:ascii="Garamond" w:hAnsi="Garamond"/>
          <w:sz w:val="24"/>
          <w:szCs w:val="24"/>
        </w:rPr>
        <w:t xml:space="preserve">The review of the macroeconomic environment follows the chronological order of development programs, strategies and policies since 1991. The various development plans and programmes include </w:t>
      </w:r>
      <w:r w:rsidRPr="00C72DFE">
        <w:rPr>
          <w:rFonts w:ascii="Garamond" w:eastAsia="Calibri" w:hAnsi="Garamond"/>
          <w:sz w:val="24"/>
          <w:szCs w:val="24"/>
        </w:rPr>
        <w:t xml:space="preserve">Emergency Recovery and Reconstruction Program (ERRP), Structural Adjustment Programme (SAP), and Poverty Reduction Strategy Papers (PRSPs) which have all substantial implications for sustainable development and rural resilience building. In particular, the PRSPs include interim PRSP plan, </w:t>
      </w:r>
      <w:r w:rsidRPr="00C72DFE">
        <w:rPr>
          <w:rFonts w:ascii="Garamond" w:hAnsi="Garamond" w:cs="TimesNewRoman"/>
          <w:sz w:val="24"/>
          <w:szCs w:val="24"/>
        </w:rPr>
        <w:t>Sustainable Development and Poverty Reduction Plan</w:t>
      </w:r>
      <w:r w:rsidRPr="00C72DFE">
        <w:rPr>
          <w:rFonts w:ascii="Garamond" w:eastAsia="Calibri" w:hAnsi="Garamond"/>
          <w:sz w:val="24"/>
          <w:szCs w:val="24"/>
        </w:rPr>
        <w:t xml:space="preserve"> (SDPRP), Plan for Accelerated and Sustainable Development to End Poverty (PASDEP), and Growth and Transformation Plan</w:t>
      </w:r>
      <w:r w:rsidR="00C5635A">
        <w:rPr>
          <w:rFonts w:ascii="Garamond" w:eastAsia="Calibri" w:hAnsi="Garamond"/>
          <w:sz w:val="24"/>
          <w:szCs w:val="24"/>
        </w:rPr>
        <w:t xml:space="preserve">s (GTP </w:t>
      </w:r>
      <w:r w:rsidRPr="00C72DFE">
        <w:rPr>
          <w:rFonts w:ascii="Garamond" w:eastAsia="Calibri" w:hAnsi="Garamond"/>
          <w:sz w:val="24"/>
          <w:szCs w:val="24"/>
        </w:rPr>
        <w:t>I</w:t>
      </w:r>
      <w:r w:rsidR="00C5635A">
        <w:rPr>
          <w:rFonts w:ascii="Garamond" w:eastAsia="Calibri" w:hAnsi="Garamond"/>
          <w:sz w:val="24"/>
          <w:szCs w:val="24"/>
        </w:rPr>
        <w:t xml:space="preserve"> and II</w:t>
      </w:r>
      <w:r w:rsidRPr="00C72DFE">
        <w:rPr>
          <w:rFonts w:ascii="Garamond" w:eastAsia="Calibri" w:hAnsi="Garamond"/>
          <w:sz w:val="24"/>
          <w:szCs w:val="24"/>
        </w:rPr>
        <w:t xml:space="preserve">).  </w:t>
      </w:r>
    </w:p>
    <w:p w:rsidR="00F602B4" w:rsidRDefault="00F602B4" w:rsidP="00C26A15">
      <w:pPr>
        <w:spacing w:after="0" w:line="240" w:lineRule="auto"/>
        <w:jc w:val="both"/>
        <w:rPr>
          <w:rFonts w:ascii="Garamond" w:eastAsia="Calibri" w:hAnsi="Garamond"/>
          <w:sz w:val="24"/>
          <w:szCs w:val="24"/>
        </w:rPr>
      </w:pPr>
    </w:p>
    <w:p w:rsidR="00F602B4" w:rsidRDefault="00F602B4" w:rsidP="00C26A15">
      <w:pPr>
        <w:spacing w:after="0" w:line="240" w:lineRule="auto"/>
        <w:jc w:val="both"/>
        <w:rPr>
          <w:rFonts w:ascii="Garamond" w:eastAsia="Calibri" w:hAnsi="Garamond"/>
          <w:sz w:val="24"/>
          <w:szCs w:val="24"/>
        </w:rPr>
      </w:pPr>
    </w:p>
    <w:p w:rsidR="00F602B4" w:rsidRDefault="00F602B4" w:rsidP="00C26A15">
      <w:pPr>
        <w:spacing w:after="0" w:line="240" w:lineRule="auto"/>
        <w:jc w:val="both"/>
        <w:rPr>
          <w:rFonts w:ascii="Garamond" w:eastAsia="Calibri" w:hAnsi="Garamond"/>
          <w:sz w:val="24"/>
          <w:szCs w:val="24"/>
        </w:rPr>
      </w:pPr>
    </w:p>
    <w:p w:rsidR="004B6379" w:rsidRDefault="004B6379" w:rsidP="00C26A15">
      <w:pPr>
        <w:spacing w:after="0" w:line="240" w:lineRule="auto"/>
        <w:jc w:val="both"/>
        <w:rPr>
          <w:rFonts w:ascii="Garamond" w:eastAsia="Calibri" w:hAnsi="Garamond"/>
          <w:sz w:val="24"/>
          <w:szCs w:val="24"/>
        </w:rPr>
      </w:pPr>
    </w:p>
    <w:p w:rsidR="004B6379" w:rsidRDefault="004B6379" w:rsidP="00C26A15">
      <w:pPr>
        <w:spacing w:after="0" w:line="240" w:lineRule="auto"/>
        <w:jc w:val="both"/>
        <w:rPr>
          <w:rFonts w:ascii="Garamond" w:eastAsia="Calibri" w:hAnsi="Garamond"/>
          <w:sz w:val="24"/>
          <w:szCs w:val="24"/>
        </w:rPr>
      </w:pPr>
    </w:p>
    <w:p w:rsidR="004B6379" w:rsidRDefault="004B6379" w:rsidP="00C26A15">
      <w:pPr>
        <w:spacing w:after="0" w:line="240" w:lineRule="auto"/>
        <w:jc w:val="both"/>
        <w:rPr>
          <w:rFonts w:ascii="Garamond" w:eastAsia="Calibri" w:hAnsi="Garamond"/>
          <w:sz w:val="24"/>
          <w:szCs w:val="24"/>
        </w:rPr>
      </w:pPr>
    </w:p>
    <w:p w:rsidR="004B6379" w:rsidRDefault="004B6379" w:rsidP="00C26A15">
      <w:pPr>
        <w:spacing w:after="0" w:line="240" w:lineRule="auto"/>
        <w:jc w:val="both"/>
        <w:rPr>
          <w:rFonts w:ascii="Garamond" w:eastAsia="Calibri" w:hAnsi="Garamond"/>
          <w:sz w:val="24"/>
          <w:szCs w:val="24"/>
        </w:rPr>
      </w:pPr>
    </w:p>
    <w:p w:rsidR="004B6379" w:rsidRDefault="004B6379" w:rsidP="00C26A15">
      <w:pPr>
        <w:spacing w:after="0" w:line="240" w:lineRule="auto"/>
        <w:jc w:val="both"/>
        <w:rPr>
          <w:rFonts w:ascii="Garamond" w:eastAsia="Calibri" w:hAnsi="Garamond"/>
          <w:sz w:val="24"/>
          <w:szCs w:val="24"/>
        </w:rPr>
      </w:pPr>
    </w:p>
    <w:p w:rsidR="00F602B4" w:rsidRDefault="00F602B4" w:rsidP="00C26A15">
      <w:pPr>
        <w:spacing w:after="0" w:line="240" w:lineRule="auto"/>
        <w:jc w:val="both"/>
        <w:rPr>
          <w:rFonts w:ascii="Garamond" w:eastAsia="Calibri" w:hAnsi="Garamond"/>
          <w:sz w:val="24"/>
          <w:szCs w:val="24"/>
        </w:rPr>
      </w:pPr>
    </w:p>
    <w:p w:rsidR="00F602B4" w:rsidRDefault="00F602B4" w:rsidP="00F602B4">
      <w:pPr>
        <w:spacing w:after="0" w:line="240" w:lineRule="auto"/>
        <w:jc w:val="both"/>
        <w:rPr>
          <w:rFonts w:ascii="Garamond" w:eastAsia="Calibri" w:hAnsi="Garamond"/>
          <w:sz w:val="24"/>
          <w:szCs w:val="24"/>
        </w:rPr>
      </w:pPr>
    </w:p>
    <w:p w:rsidR="00F602B4" w:rsidRPr="00D865C7" w:rsidRDefault="00F602B4" w:rsidP="00F602B4">
      <w:pPr>
        <w:pStyle w:val="Caption"/>
        <w:spacing w:after="0"/>
        <w:rPr>
          <w:rFonts w:ascii="Garamond" w:eastAsia="Calibri" w:hAnsi="Garamond"/>
          <w:sz w:val="22"/>
          <w:szCs w:val="22"/>
        </w:rPr>
      </w:pPr>
      <w:bookmarkStart w:id="37" w:name="_Toc436575006"/>
      <w:bookmarkStart w:id="38" w:name="_Toc486585939"/>
      <w:r w:rsidRPr="00D865C7">
        <w:rPr>
          <w:rFonts w:ascii="Garamond" w:eastAsia="Calibri" w:hAnsi="Garamond"/>
          <w:sz w:val="22"/>
          <w:szCs w:val="22"/>
        </w:rPr>
        <w:t>Figure</w:t>
      </w:r>
      <w:r w:rsidRPr="00D865C7">
        <w:rPr>
          <w:rFonts w:ascii="Garamond" w:hAnsi="Garamond"/>
          <w:sz w:val="22"/>
          <w:szCs w:val="22"/>
        </w:rPr>
        <w:t xml:space="preserve"> </w:t>
      </w:r>
      <w:r w:rsidR="00BF3BBC" w:rsidRPr="00D865C7">
        <w:rPr>
          <w:rFonts w:ascii="Garamond" w:hAnsi="Garamond"/>
          <w:sz w:val="22"/>
          <w:szCs w:val="22"/>
        </w:rPr>
        <w:fldChar w:fldCharType="begin"/>
      </w:r>
      <w:r w:rsidRPr="00D865C7">
        <w:rPr>
          <w:rFonts w:ascii="Garamond" w:hAnsi="Garamond"/>
          <w:sz w:val="22"/>
          <w:szCs w:val="22"/>
        </w:rPr>
        <w:instrText xml:space="preserve"> SEQ Figure \* ARABIC </w:instrText>
      </w:r>
      <w:r w:rsidR="00BF3BBC" w:rsidRPr="00D865C7">
        <w:rPr>
          <w:rFonts w:ascii="Garamond" w:hAnsi="Garamond"/>
          <w:sz w:val="22"/>
          <w:szCs w:val="22"/>
        </w:rPr>
        <w:fldChar w:fldCharType="separate"/>
      </w:r>
      <w:r w:rsidR="006C24A4">
        <w:rPr>
          <w:rFonts w:ascii="Garamond" w:hAnsi="Garamond"/>
          <w:noProof/>
          <w:sz w:val="22"/>
          <w:szCs w:val="22"/>
        </w:rPr>
        <w:t>4</w:t>
      </w:r>
      <w:r w:rsidR="00BF3BBC" w:rsidRPr="00D865C7">
        <w:rPr>
          <w:rFonts w:ascii="Garamond" w:hAnsi="Garamond"/>
          <w:sz w:val="22"/>
          <w:szCs w:val="22"/>
        </w:rPr>
        <w:fldChar w:fldCharType="end"/>
      </w:r>
      <w:r w:rsidRPr="00D865C7">
        <w:rPr>
          <w:rFonts w:ascii="Garamond" w:eastAsia="Calibri" w:hAnsi="Garamond"/>
          <w:sz w:val="22"/>
          <w:szCs w:val="22"/>
        </w:rPr>
        <w:t>: Timelines of development plans</w:t>
      </w:r>
      <w:bookmarkEnd w:id="37"/>
      <w:bookmarkEnd w:id="38"/>
      <w:r w:rsidRPr="00D865C7">
        <w:rPr>
          <w:rFonts w:ascii="Garamond" w:eastAsia="Calibri" w:hAnsi="Garamond"/>
          <w:sz w:val="22"/>
          <w:szCs w:val="22"/>
        </w:rPr>
        <w:t xml:space="preserve"> </w:t>
      </w:r>
    </w:p>
    <w:p w:rsidR="00F602B4" w:rsidRPr="00C72DFE" w:rsidRDefault="00F602B4" w:rsidP="00F602B4">
      <w:pPr>
        <w:keepNext/>
        <w:spacing w:after="0" w:line="240" w:lineRule="auto"/>
        <w:jc w:val="both"/>
        <w:rPr>
          <w:rFonts w:ascii="Garamond" w:eastAsia="Calibri" w:hAnsi="Garamond"/>
          <w:sz w:val="24"/>
          <w:szCs w:val="24"/>
        </w:rPr>
      </w:pPr>
      <w:r w:rsidRPr="00DE2565">
        <w:rPr>
          <w:rFonts w:eastAsia="Calibri"/>
          <w:noProof/>
        </w:rPr>
        <w:drawing>
          <wp:inline distT="0" distB="0" distL="0" distR="0">
            <wp:extent cx="6562724" cy="247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571257" cy="2473362"/>
                    </a:xfrm>
                    <a:prstGeom prst="rect">
                      <a:avLst/>
                    </a:prstGeom>
                  </pic:spPr>
                </pic:pic>
              </a:graphicData>
            </a:graphic>
          </wp:inline>
        </w:drawing>
      </w:r>
    </w:p>
    <w:p w:rsidR="00F602B4" w:rsidRDefault="00F602B4" w:rsidP="00F602B4">
      <w:pPr>
        <w:keepNext/>
        <w:spacing w:after="0" w:line="240" w:lineRule="auto"/>
        <w:jc w:val="both"/>
        <w:rPr>
          <w:rFonts w:ascii="Garamond" w:eastAsia="Calibri" w:hAnsi="Garamond"/>
          <w:sz w:val="24"/>
          <w:szCs w:val="24"/>
        </w:rPr>
      </w:pPr>
      <w:r w:rsidRPr="00C72DFE">
        <w:rPr>
          <w:rFonts w:ascii="Garamond" w:eastAsia="Calibri" w:hAnsi="Garamond"/>
          <w:sz w:val="24"/>
          <w:szCs w:val="24"/>
        </w:rPr>
        <w:t>Source: Own construction</w:t>
      </w:r>
    </w:p>
    <w:p w:rsidR="00F602B4" w:rsidRDefault="00F602B4" w:rsidP="00C26A15">
      <w:pPr>
        <w:spacing w:after="0" w:line="240" w:lineRule="auto"/>
        <w:jc w:val="both"/>
        <w:rPr>
          <w:rFonts w:ascii="Garamond" w:eastAsia="Calibri" w:hAnsi="Garamond"/>
          <w:sz w:val="24"/>
          <w:szCs w:val="24"/>
        </w:rPr>
      </w:pPr>
    </w:p>
    <w:p w:rsidR="008A5CF7" w:rsidRPr="004B6379" w:rsidRDefault="009749A2" w:rsidP="004B6379">
      <w:pPr>
        <w:pStyle w:val="Heading4"/>
        <w:rPr>
          <w:rFonts w:ascii="Garamond" w:hAnsi="Garamond"/>
          <w:b/>
          <w:i w:val="0"/>
          <w:sz w:val="24"/>
          <w:szCs w:val="24"/>
        </w:rPr>
      </w:pPr>
      <w:r w:rsidRPr="004B6379">
        <w:rPr>
          <w:rFonts w:ascii="Garamond" w:hAnsi="Garamond"/>
          <w:b/>
          <w:i w:val="0"/>
          <w:sz w:val="24"/>
          <w:szCs w:val="24"/>
        </w:rPr>
        <w:t xml:space="preserve">3.2.4.1 </w:t>
      </w:r>
      <w:r w:rsidR="008A5CF7" w:rsidRPr="004B6379">
        <w:rPr>
          <w:rFonts w:ascii="Garamond" w:hAnsi="Garamond"/>
          <w:b/>
          <w:i w:val="0"/>
          <w:sz w:val="24"/>
          <w:szCs w:val="24"/>
        </w:rPr>
        <w:t xml:space="preserve">An </w:t>
      </w:r>
      <w:r w:rsidRPr="004B6379">
        <w:rPr>
          <w:rFonts w:ascii="Garamond" w:hAnsi="Garamond"/>
          <w:b/>
          <w:i w:val="0"/>
          <w:sz w:val="24"/>
          <w:szCs w:val="24"/>
        </w:rPr>
        <w:t xml:space="preserve">overview of </w:t>
      </w:r>
      <w:r w:rsidR="008A5CF7" w:rsidRPr="004B6379">
        <w:rPr>
          <w:rFonts w:ascii="Garamond" w:hAnsi="Garamond"/>
          <w:b/>
          <w:i w:val="0"/>
          <w:sz w:val="24"/>
          <w:szCs w:val="24"/>
        </w:rPr>
        <w:t>GTP-II and key priority areas</w:t>
      </w:r>
    </w:p>
    <w:p w:rsidR="008A5CF7" w:rsidRPr="0089192A" w:rsidRDefault="008A5CF7" w:rsidP="008A5CF7">
      <w:pPr>
        <w:pStyle w:val="ListParagraph"/>
        <w:spacing w:after="0" w:line="240" w:lineRule="auto"/>
        <w:ind w:left="2160"/>
      </w:pPr>
    </w:p>
    <w:p w:rsidR="008A5CF7" w:rsidRDefault="008A5CF7" w:rsidP="008A5CF7">
      <w:pPr>
        <w:spacing w:after="0" w:line="240" w:lineRule="auto"/>
        <w:jc w:val="both"/>
        <w:rPr>
          <w:rFonts w:ascii="Garamond" w:hAnsi="Garamond"/>
          <w:sz w:val="24"/>
          <w:szCs w:val="24"/>
        </w:rPr>
      </w:pPr>
      <w:r w:rsidRPr="003A5AB3">
        <w:rPr>
          <w:rFonts w:ascii="Garamond" w:hAnsi="Garamond"/>
          <w:sz w:val="24"/>
          <w:szCs w:val="24"/>
          <w:lang w:val="en-GB"/>
        </w:rPr>
        <w:t>Ethiopia has prepared</w:t>
      </w:r>
      <w:r>
        <w:rPr>
          <w:rFonts w:ascii="Garamond" w:hAnsi="Garamond"/>
          <w:sz w:val="24"/>
          <w:szCs w:val="24"/>
          <w:lang w:val="en-GB"/>
        </w:rPr>
        <w:t xml:space="preserve"> and is implementing </w:t>
      </w:r>
      <w:r w:rsidRPr="003A5AB3">
        <w:rPr>
          <w:rFonts w:ascii="Garamond" w:hAnsi="Garamond"/>
          <w:sz w:val="24"/>
          <w:szCs w:val="24"/>
          <w:lang w:val="en-GB"/>
        </w:rPr>
        <w:t>the second growth and transformation plan (GTP-II)</w:t>
      </w:r>
      <w:r w:rsidR="009749A2">
        <w:rPr>
          <w:rFonts w:ascii="Garamond" w:hAnsi="Garamond"/>
          <w:sz w:val="24"/>
          <w:szCs w:val="24"/>
          <w:lang w:val="en-GB"/>
        </w:rPr>
        <w:t xml:space="preserve"> (2015/16-2019/20)</w:t>
      </w:r>
      <w:r w:rsidRPr="003A5AB3">
        <w:rPr>
          <w:rFonts w:ascii="Garamond" w:hAnsi="Garamond"/>
          <w:sz w:val="24"/>
          <w:szCs w:val="24"/>
          <w:lang w:val="en-GB"/>
        </w:rPr>
        <w:t xml:space="preserve">. </w:t>
      </w:r>
      <w:r w:rsidRPr="003A5AB3">
        <w:rPr>
          <w:rFonts w:ascii="Garamond" w:hAnsi="Garamond"/>
          <w:sz w:val="24"/>
          <w:szCs w:val="24"/>
        </w:rPr>
        <w:t>This planning horizon coincides with end of MDGs</w:t>
      </w:r>
      <w:r>
        <w:rPr>
          <w:rFonts w:ascii="Garamond" w:hAnsi="Garamond"/>
          <w:sz w:val="24"/>
          <w:szCs w:val="24"/>
        </w:rPr>
        <w:t xml:space="preserve"> and the beginning </w:t>
      </w:r>
      <w:r w:rsidRPr="003A5AB3">
        <w:rPr>
          <w:rFonts w:ascii="Garamond" w:hAnsi="Garamond"/>
          <w:sz w:val="24"/>
          <w:szCs w:val="24"/>
        </w:rPr>
        <w:t xml:space="preserve">of SDGs. </w:t>
      </w:r>
      <w:r>
        <w:rPr>
          <w:rFonts w:ascii="Garamond" w:hAnsi="Garamond"/>
          <w:sz w:val="24"/>
          <w:szCs w:val="24"/>
        </w:rPr>
        <w:t xml:space="preserve">GTP-II takes into account national, regional and global perspectives including the following. </w:t>
      </w:r>
    </w:p>
    <w:p w:rsidR="008A5CF7" w:rsidRPr="00695557" w:rsidRDefault="008A5CF7" w:rsidP="008A5CF7">
      <w:pPr>
        <w:pStyle w:val="ListParagraph"/>
        <w:numPr>
          <w:ilvl w:val="0"/>
          <w:numId w:val="6"/>
        </w:numPr>
        <w:spacing w:after="0" w:line="240" w:lineRule="auto"/>
        <w:rPr>
          <w:rFonts w:ascii="Garamond" w:hAnsi="Garamond"/>
          <w:sz w:val="24"/>
          <w:szCs w:val="24"/>
        </w:rPr>
      </w:pPr>
      <w:r w:rsidRPr="00695557">
        <w:rPr>
          <w:rFonts w:ascii="Garamond" w:hAnsi="Garamond"/>
          <w:sz w:val="24"/>
          <w:szCs w:val="24"/>
        </w:rPr>
        <w:t>The country’s vision</w:t>
      </w:r>
    </w:p>
    <w:p w:rsidR="008A5CF7" w:rsidRPr="00D82952" w:rsidRDefault="008A5CF7" w:rsidP="008A5CF7">
      <w:pPr>
        <w:numPr>
          <w:ilvl w:val="0"/>
          <w:numId w:val="6"/>
        </w:numPr>
        <w:spacing w:after="0" w:line="240" w:lineRule="auto"/>
        <w:rPr>
          <w:rFonts w:ascii="Garamond" w:hAnsi="Garamond"/>
          <w:sz w:val="24"/>
          <w:szCs w:val="24"/>
        </w:rPr>
      </w:pPr>
      <w:r w:rsidRPr="00D82952">
        <w:rPr>
          <w:rFonts w:ascii="Garamond" w:hAnsi="Garamond"/>
          <w:sz w:val="24"/>
          <w:szCs w:val="24"/>
          <w:lang w:val="en-CA"/>
        </w:rPr>
        <w:t>National Development Policies and Strategies</w:t>
      </w:r>
    </w:p>
    <w:p w:rsidR="008A5CF7" w:rsidRPr="00D82952" w:rsidRDefault="008A5CF7" w:rsidP="008A5CF7">
      <w:pPr>
        <w:numPr>
          <w:ilvl w:val="0"/>
          <w:numId w:val="6"/>
        </w:numPr>
        <w:spacing w:after="0" w:line="240" w:lineRule="auto"/>
        <w:rPr>
          <w:rFonts w:ascii="Garamond" w:hAnsi="Garamond"/>
          <w:sz w:val="24"/>
          <w:szCs w:val="24"/>
        </w:rPr>
      </w:pPr>
      <w:r w:rsidRPr="00D82952">
        <w:rPr>
          <w:rFonts w:ascii="Garamond" w:hAnsi="Garamond"/>
          <w:sz w:val="24"/>
          <w:szCs w:val="24"/>
        </w:rPr>
        <w:t xml:space="preserve">Lessons from GTP-I </w:t>
      </w:r>
    </w:p>
    <w:p w:rsidR="008A5CF7" w:rsidRPr="00D40836" w:rsidRDefault="008A5CF7" w:rsidP="00D40836">
      <w:pPr>
        <w:numPr>
          <w:ilvl w:val="0"/>
          <w:numId w:val="6"/>
        </w:numPr>
        <w:spacing w:after="0" w:line="240" w:lineRule="auto"/>
        <w:rPr>
          <w:rFonts w:ascii="Garamond" w:hAnsi="Garamond"/>
          <w:sz w:val="24"/>
          <w:szCs w:val="24"/>
        </w:rPr>
      </w:pPr>
      <w:r w:rsidRPr="00D40836">
        <w:rPr>
          <w:rFonts w:ascii="Garamond" w:hAnsi="Garamond"/>
          <w:sz w:val="24"/>
          <w:szCs w:val="24"/>
        </w:rPr>
        <w:t>Regional circumstances and outlook</w:t>
      </w:r>
      <w:r w:rsidR="00D40836" w:rsidRPr="00D40836">
        <w:rPr>
          <w:rFonts w:ascii="Garamond" w:hAnsi="Garamond"/>
          <w:sz w:val="24"/>
          <w:szCs w:val="24"/>
        </w:rPr>
        <w:t xml:space="preserve"> such as </w:t>
      </w:r>
      <w:r w:rsidRPr="00D40836">
        <w:rPr>
          <w:rFonts w:ascii="Garamond" w:hAnsi="Garamond"/>
          <w:sz w:val="24"/>
          <w:szCs w:val="24"/>
        </w:rPr>
        <w:t>Common Africa Position and Agenda 2063</w:t>
      </w:r>
    </w:p>
    <w:p w:rsidR="008A5CF7" w:rsidRPr="00232997" w:rsidRDefault="00232997" w:rsidP="008F1F47">
      <w:pPr>
        <w:numPr>
          <w:ilvl w:val="1"/>
          <w:numId w:val="6"/>
        </w:numPr>
        <w:tabs>
          <w:tab w:val="clear" w:pos="1440"/>
          <w:tab w:val="num" w:pos="720"/>
        </w:tabs>
        <w:spacing w:after="0" w:line="240" w:lineRule="auto"/>
        <w:ind w:left="1080"/>
        <w:rPr>
          <w:rFonts w:ascii="Garamond" w:hAnsi="Garamond"/>
          <w:sz w:val="24"/>
          <w:szCs w:val="24"/>
        </w:rPr>
      </w:pPr>
      <w:r w:rsidRPr="00232997">
        <w:rPr>
          <w:rFonts w:ascii="Garamond" w:hAnsi="Garamond"/>
          <w:sz w:val="24"/>
          <w:szCs w:val="24"/>
        </w:rPr>
        <w:t xml:space="preserve">Global situations (e.g. </w:t>
      </w:r>
      <w:r w:rsidR="008A5CF7" w:rsidRPr="00232997">
        <w:rPr>
          <w:rFonts w:ascii="Garamond" w:hAnsi="Garamond"/>
          <w:sz w:val="24"/>
          <w:szCs w:val="24"/>
        </w:rPr>
        <w:t>Post-2015 development agenda</w:t>
      </w:r>
      <w:r>
        <w:rPr>
          <w:rFonts w:ascii="Garamond" w:hAnsi="Garamond"/>
          <w:sz w:val="24"/>
          <w:szCs w:val="24"/>
        </w:rPr>
        <w:t xml:space="preserve"> such as </w:t>
      </w:r>
      <w:r w:rsidR="008A5CF7" w:rsidRPr="00232997">
        <w:rPr>
          <w:rFonts w:ascii="Garamond" w:hAnsi="Garamond"/>
          <w:sz w:val="24"/>
          <w:szCs w:val="24"/>
        </w:rPr>
        <w:t>SDGs</w:t>
      </w:r>
      <w:r>
        <w:rPr>
          <w:rFonts w:ascii="Garamond" w:hAnsi="Garamond"/>
          <w:sz w:val="24"/>
          <w:szCs w:val="24"/>
        </w:rPr>
        <w:t xml:space="preserve"> and </w:t>
      </w:r>
      <w:r w:rsidR="008A5CF7" w:rsidRPr="00232997">
        <w:rPr>
          <w:rFonts w:ascii="Garamond" w:hAnsi="Garamond"/>
          <w:sz w:val="24"/>
          <w:szCs w:val="24"/>
        </w:rPr>
        <w:t>Global economic outlook</w:t>
      </w:r>
      <w:r>
        <w:rPr>
          <w:rFonts w:ascii="Garamond" w:hAnsi="Garamond"/>
          <w:sz w:val="24"/>
          <w:szCs w:val="24"/>
        </w:rPr>
        <w:t>)</w:t>
      </w:r>
    </w:p>
    <w:p w:rsidR="008A5CF7" w:rsidRDefault="008A5CF7" w:rsidP="008A5CF7">
      <w:pPr>
        <w:tabs>
          <w:tab w:val="num" w:pos="720"/>
        </w:tabs>
        <w:spacing w:after="0" w:line="240" w:lineRule="auto"/>
        <w:rPr>
          <w:rFonts w:ascii="Garamond" w:hAnsi="Garamond"/>
          <w:sz w:val="24"/>
          <w:szCs w:val="24"/>
        </w:rPr>
      </w:pPr>
    </w:p>
    <w:p w:rsidR="008A5CF7" w:rsidRPr="002B4A0E" w:rsidRDefault="008A5CF7" w:rsidP="008A5CF7">
      <w:pPr>
        <w:spacing w:after="0" w:line="240" w:lineRule="auto"/>
        <w:rPr>
          <w:rFonts w:ascii="Garamond" w:hAnsi="Garamond"/>
          <w:sz w:val="24"/>
          <w:szCs w:val="24"/>
        </w:rPr>
      </w:pPr>
      <w:r w:rsidRPr="002B4A0E">
        <w:rPr>
          <w:rFonts w:ascii="Garamond" w:hAnsi="Garamond"/>
          <w:sz w:val="24"/>
          <w:szCs w:val="24"/>
        </w:rPr>
        <w:t xml:space="preserve">The </w:t>
      </w:r>
      <w:r>
        <w:rPr>
          <w:rFonts w:ascii="Garamond" w:hAnsi="Garamond"/>
          <w:sz w:val="24"/>
          <w:szCs w:val="24"/>
        </w:rPr>
        <w:t xml:space="preserve">main </w:t>
      </w:r>
      <w:r w:rsidRPr="002B4A0E">
        <w:rPr>
          <w:rFonts w:ascii="Garamond" w:hAnsi="Garamond"/>
          <w:sz w:val="24"/>
          <w:szCs w:val="24"/>
        </w:rPr>
        <w:t xml:space="preserve">objective of </w:t>
      </w:r>
      <w:r w:rsidR="008C6CF4">
        <w:rPr>
          <w:rFonts w:ascii="Garamond" w:hAnsi="Garamond"/>
          <w:sz w:val="24"/>
          <w:szCs w:val="24"/>
        </w:rPr>
        <w:t xml:space="preserve">GTP-II </w:t>
      </w:r>
      <w:r w:rsidRPr="002B4A0E">
        <w:rPr>
          <w:rFonts w:ascii="Garamond" w:hAnsi="Garamond"/>
          <w:sz w:val="24"/>
          <w:szCs w:val="24"/>
        </w:rPr>
        <w:t>is</w:t>
      </w:r>
      <w:r>
        <w:rPr>
          <w:rFonts w:ascii="Garamond" w:hAnsi="Garamond"/>
          <w:sz w:val="24"/>
          <w:szCs w:val="24"/>
        </w:rPr>
        <w:t xml:space="preserve"> to achieve </w:t>
      </w:r>
      <w:r w:rsidRPr="002B4A0E">
        <w:rPr>
          <w:rFonts w:ascii="Garamond" w:hAnsi="Garamond"/>
          <w:sz w:val="24"/>
          <w:szCs w:val="24"/>
        </w:rPr>
        <w:t xml:space="preserve">the national vision of becoming </w:t>
      </w:r>
      <w:r>
        <w:rPr>
          <w:rFonts w:ascii="Garamond" w:hAnsi="Garamond"/>
          <w:sz w:val="24"/>
          <w:szCs w:val="24"/>
        </w:rPr>
        <w:t xml:space="preserve">a </w:t>
      </w:r>
      <w:r w:rsidRPr="002B4A0E">
        <w:rPr>
          <w:rFonts w:ascii="Garamond" w:hAnsi="Garamond"/>
          <w:sz w:val="24"/>
          <w:szCs w:val="24"/>
        </w:rPr>
        <w:t>lower middle-income country by 20</w:t>
      </w:r>
      <w:r>
        <w:rPr>
          <w:rFonts w:ascii="Garamond" w:hAnsi="Garamond"/>
          <w:sz w:val="24"/>
          <w:szCs w:val="24"/>
        </w:rPr>
        <w:t>2</w:t>
      </w:r>
      <w:r w:rsidRPr="002B4A0E">
        <w:rPr>
          <w:rFonts w:ascii="Garamond" w:hAnsi="Garamond"/>
          <w:sz w:val="24"/>
          <w:szCs w:val="24"/>
        </w:rPr>
        <w:t xml:space="preserve">5. </w:t>
      </w:r>
      <w:r>
        <w:rPr>
          <w:rFonts w:ascii="Garamond" w:hAnsi="Garamond"/>
          <w:sz w:val="24"/>
          <w:szCs w:val="24"/>
        </w:rPr>
        <w:t xml:space="preserve">Specifically, GTP-II has </w:t>
      </w:r>
      <w:r w:rsidRPr="002B4A0E">
        <w:rPr>
          <w:rFonts w:ascii="Garamond" w:hAnsi="Garamond"/>
          <w:sz w:val="24"/>
          <w:szCs w:val="24"/>
        </w:rPr>
        <w:t>the following objectives.</w:t>
      </w:r>
    </w:p>
    <w:p w:rsidR="008A5CF7" w:rsidRPr="003A5AB3" w:rsidRDefault="008A5CF7" w:rsidP="008A5CF7">
      <w:pPr>
        <w:pStyle w:val="ListParagraph"/>
        <w:numPr>
          <w:ilvl w:val="0"/>
          <w:numId w:val="5"/>
        </w:numPr>
        <w:spacing w:after="0" w:line="240" w:lineRule="auto"/>
        <w:jc w:val="both"/>
        <w:rPr>
          <w:rFonts w:ascii="Garamond" w:hAnsi="Garamond"/>
          <w:sz w:val="24"/>
          <w:szCs w:val="24"/>
        </w:rPr>
      </w:pPr>
      <w:r w:rsidRPr="003A5AB3">
        <w:rPr>
          <w:rFonts w:ascii="Garamond" w:hAnsi="Garamond"/>
          <w:sz w:val="24"/>
          <w:szCs w:val="24"/>
        </w:rPr>
        <w:t>Maintain at least an average real GDP growth rate of 11</w:t>
      </w:r>
      <w:r>
        <w:rPr>
          <w:rFonts w:ascii="Garamond" w:hAnsi="Garamond"/>
          <w:sz w:val="24"/>
          <w:szCs w:val="24"/>
        </w:rPr>
        <w:t xml:space="preserve"> percent</w:t>
      </w:r>
      <w:r w:rsidRPr="003A5AB3">
        <w:rPr>
          <w:rFonts w:ascii="Garamond" w:hAnsi="Garamond"/>
          <w:sz w:val="24"/>
          <w:szCs w:val="24"/>
        </w:rPr>
        <w:t xml:space="preserve"> in a stable macroeconomic environment;</w:t>
      </w:r>
    </w:p>
    <w:p w:rsidR="008A5CF7" w:rsidRPr="003A5AB3" w:rsidRDefault="008A5CF7" w:rsidP="008A5CF7">
      <w:pPr>
        <w:pStyle w:val="ListParagraph"/>
        <w:numPr>
          <w:ilvl w:val="0"/>
          <w:numId w:val="5"/>
        </w:numPr>
        <w:spacing w:after="0" w:line="240" w:lineRule="auto"/>
        <w:jc w:val="both"/>
        <w:rPr>
          <w:rFonts w:ascii="Garamond" w:hAnsi="Garamond"/>
          <w:sz w:val="24"/>
          <w:szCs w:val="24"/>
        </w:rPr>
      </w:pPr>
      <w:r w:rsidRPr="003A5AB3">
        <w:rPr>
          <w:rFonts w:ascii="Garamond" w:hAnsi="Garamond"/>
          <w:sz w:val="24"/>
          <w:szCs w:val="24"/>
        </w:rPr>
        <w:t>Develop the domestic engineering fabrication capacity and improve productivity, quality, and competitiveness of the domestic productive sectors to speed up structural transformation;</w:t>
      </w:r>
    </w:p>
    <w:p w:rsidR="008A5CF7" w:rsidRPr="003A5AB3" w:rsidRDefault="008A5CF7" w:rsidP="008A5CF7">
      <w:pPr>
        <w:pStyle w:val="ListParagraph"/>
        <w:numPr>
          <w:ilvl w:val="0"/>
          <w:numId w:val="5"/>
        </w:numPr>
        <w:spacing w:after="0" w:line="240" w:lineRule="auto"/>
        <w:jc w:val="both"/>
        <w:rPr>
          <w:rFonts w:ascii="Garamond" w:hAnsi="Garamond"/>
          <w:sz w:val="24"/>
          <w:szCs w:val="24"/>
        </w:rPr>
      </w:pPr>
      <w:r w:rsidRPr="003A5AB3">
        <w:rPr>
          <w:rFonts w:ascii="Garamond" w:hAnsi="Garamond"/>
          <w:sz w:val="24"/>
          <w:szCs w:val="24"/>
        </w:rPr>
        <w:t xml:space="preserve">Strengthen and develop existing infrastructures for social mobilization/developmental army to render citizens become owners of the development process and ultimately benefit from the outcomes; and </w:t>
      </w:r>
    </w:p>
    <w:p w:rsidR="008A5CF7" w:rsidRDefault="008A5CF7" w:rsidP="008A5CF7">
      <w:pPr>
        <w:pStyle w:val="ListParagraph"/>
        <w:numPr>
          <w:ilvl w:val="0"/>
          <w:numId w:val="5"/>
        </w:numPr>
        <w:spacing w:after="0" w:line="240" w:lineRule="auto"/>
        <w:jc w:val="both"/>
        <w:rPr>
          <w:rFonts w:ascii="Garamond" w:hAnsi="Garamond"/>
          <w:sz w:val="24"/>
          <w:szCs w:val="24"/>
        </w:rPr>
      </w:pPr>
      <w:r w:rsidRPr="003A5AB3">
        <w:rPr>
          <w:rFonts w:ascii="Garamond" w:hAnsi="Garamond"/>
          <w:sz w:val="24"/>
          <w:szCs w:val="24"/>
        </w:rPr>
        <w:t xml:space="preserve">Deepen developmental political economy by strengthening a stable democratic developmental state. </w:t>
      </w:r>
    </w:p>
    <w:p w:rsidR="002650D4" w:rsidRDefault="008A5CF7" w:rsidP="00F602B4">
      <w:pPr>
        <w:spacing w:after="0" w:line="240" w:lineRule="auto"/>
        <w:jc w:val="both"/>
        <w:rPr>
          <w:rFonts w:ascii="Garamond" w:hAnsi="Garamond"/>
          <w:sz w:val="24"/>
          <w:szCs w:val="24"/>
        </w:rPr>
      </w:pPr>
      <w:r w:rsidRPr="002803C4">
        <w:rPr>
          <w:rFonts w:ascii="Garamond" w:hAnsi="Garamond"/>
          <w:sz w:val="24"/>
          <w:szCs w:val="24"/>
        </w:rPr>
        <w:t>The second Growth and Transformation Plan consists of nine strategic p</w:t>
      </w:r>
      <w:r>
        <w:rPr>
          <w:rFonts w:ascii="Garamond" w:hAnsi="Garamond"/>
          <w:sz w:val="24"/>
          <w:szCs w:val="24"/>
        </w:rPr>
        <w:t xml:space="preserve">illars (Figure 5). </w:t>
      </w:r>
      <w:r w:rsidRPr="002803C4">
        <w:rPr>
          <w:rFonts w:ascii="Garamond" w:hAnsi="Garamond"/>
          <w:sz w:val="24"/>
          <w:szCs w:val="24"/>
        </w:rPr>
        <w:t xml:space="preserve"> </w:t>
      </w:r>
      <w:r>
        <w:rPr>
          <w:rFonts w:ascii="Garamond" w:hAnsi="Garamond"/>
          <w:sz w:val="24"/>
          <w:szCs w:val="24"/>
        </w:rPr>
        <w:t xml:space="preserve">The key departure of GTP-II from its predecessor (GTP-I) is the explicit focus on manufacturing industry, inclusion of the green economy and of SDGs to achieve sustainable structural transformation. </w:t>
      </w:r>
      <w:r w:rsidR="008F1F47">
        <w:rPr>
          <w:rFonts w:ascii="Garamond" w:hAnsi="Garamond" w:cstheme="minorHAnsi"/>
          <w:sz w:val="24"/>
          <w:szCs w:val="24"/>
        </w:rPr>
        <w:t xml:space="preserve">Based </w:t>
      </w:r>
      <w:r w:rsidR="008F1F47">
        <w:rPr>
          <w:rFonts w:ascii="Garamond" w:hAnsi="Garamond" w:cstheme="minorHAnsi"/>
          <w:sz w:val="24"/>
          <w:szCs w:val="24"/>
        </w:rPr>
        <w:lastRenderedPageBreak/>
        <w:t>on the experience gained from the GTP-II-CRGE strategy integration, Ethiopia contextualizes relevant SDGs into its five-year development plan (i.e. GTP-II).</w:t>
      </w:r>
      <w:r w:rsidR="008F1F47" w:rsidRPr="008F1F47">
        <w:rPr>
          <w:rFonts w:ascii="Garamond" w:hAnsi="Garamond" w:cs="Gotham-Book"/>
          <w:sz w:val="24"/>
          <w:szCs w:val="24"/>
        </w:rPr>
        <w:t xml:space="preserve"> </w:t>
      </w:r>
      <w:r w:rsidR="008F1F47" w:rsidRPr="00ED0025">
        <w:rPr>
          <w:rFonts w:ascii="Garamond" w:hAnsi="Garamond" w:cs="Gotham-Book"/>
          <w:sz w:val="24"/>
          <w:szCs w:val="24"/>
        </w:rPr>
        <w:t>In Ethiopia</w:t>
      </w:r>
      <w:r w:rsidR="008F1F47">
        <w:rPr>
          <w:rFonts w:ascii="Garamond" w:hAnsi="Garamond" w:cs="Gotham-Book"/>
          <w:sz w:val="24"/>
          <w:szCs w:val="24"/>
        </w:rPr>
        <w:t>,</w:t>
      </w:r>
      <w:r w:rsidR="008F1F47" w:rsidRPr="00ED0025">
        <w:rPr>
          <w:rFonts w:ascii="Garamond" w:hAnsi="Garamond" w:cs="Gotham-Book"/>
          <w:sz w:val="24"/>
          <w:szCs w:val="24"/>
        </w:rPr>
        <w:t xml:space="preserve"> the economy-wide integration of SDGs occurs both at macoreconomic and sectoral levels to ensure that adequate SDGs indicators and targets are included at both levels.</w:t>
      </w:r>
      <w:r w:rsidR="008F1F47">
        <w:rPr>
          <w:rFonts w:ascii="Garamond" w:hAnsi="Garamond" w:cs="Gotham-Book"/>
          <w:sz w:val="24"/>
          <w:szCs w:val="24"/>
        </w:rPr>
        <w:t xml:space="preserve"> </w:t>
      </w:r>
      <w:r w:rsidR="008F1F47" w:rsidRPr="00CD6B14">
        <w:rPr>
          <w:rFonts w:ascii="Garamond" w:hAnsi="Garamond"/>
          <w:bCs/>
          <w:color w:val="000000"/>
          <w:sz w:val="24"/>
          <w:szCs w:val="24"/>
          <w:lang w:val="en-GB"/>
        </w:rPr>
        <w:t xml:space="preserve">Matching </w:t>
      </w:r>
      <w:r w:rsidR="008F1F47">
        <w:rPr>
          <w:rFonts w:ascii="Garamond" w:hAnsi="Garamond"/>
          <w:bCs/>
          <w:color w:val="000000"/>
          <w:sz w:val="24"/>
          <w:szCs w:val="24"/>
          <w:lang w:val="en-GB"/>
        </w:rPr>
        <w:t xml:space="preserve">exercise between GTP-II and SDGs indicate that </w:t>
      </w:r>
      <w:r w:rsidR="008F1F47">
        <w:rPr>
          <w:rFonts w:ascii="Garamond" w:hAnsi="Garamond"/>
          <w:bCs/>
          <w:sz w:val="24"/>
          <w:szCs w:val="24"/>
        </w:rPr>
        <w:t>a</w:t>
      </w:r>
      <w:r w:rsidR="008F1F47" w:rsidRPr="006B3764">
        <w:rPr>
          <w:rFonts w:ascii="Garamond" w:hAnsi="Garamond"/>
          <w:bCs/>
          <w:sz w:val="24"/>
          <w:szCs w:val="24"/>
        </w:rPr>
        <w:t xml:space="preserve">bout </w:t>
      </w:r>
      <w:r w:rsidR="008F1F47">
        <w:rPr>
          <w:rFonts w:ascii="Garamond" w:hAnsi="Garamond"/>
          <w:bCs/>
          <w:sz w:val="24"/>
          <w:szCs w:val="24"/>
        </w:rPr>
        <w:t>39.1 percent</w:t>
      </w:r>
      <w:r w:rsidR="008F1F47" w:rsidRPr="006B3764">
        <w:rPr>
          <w:rFonts w:ascii="Garamond" w:hAnsi="Garamond"/>
          <w:bCs/>
          <w:sz w:val="24"/>
          <w:szCs w:val="24"/>
        </w:rPr>
        <w:t xml:space="preserve"> and </w:t>
      </w:r>
      <w:r w:rsidR="008F1F47">
        <w:rPr>
          <w:rFonts w:ascii="Garamond" w:hAnsi="Garamond"/>
          <w:bCs/>
          <w:sz w:val="24"/>
          <w:szCs w:val="24"/>
        </w:rPr>
        <w:t xml:space="preserve">43.2 percent of SDGs targets have been fully and partially reflected </w:t>
      </w:r>
      <w:r w:rsidR="008F1F47" w:rsidRPr="006B3764">
        <w:rPr>
          <w:rFonts w:ascii="Garamond" w:hAnsi="Garamond"/>
          <w:bCs/>
          <w:sz w:val="24"/>
          <w:szCs w:val="24"/>
        </w:rPr>
        <w:t>in GTP</w:t>
      </w:r>
      <w:r w:rsidR="008F1F47">
        <w:rPr>
          <w:rFonts w:ascii="Garamond" w:hAnsi="Garamond"/>
          <w:bCs/>
          <w:sz w:val="24"/>
          <w:szCs w:val="24"/>
        </w:rPr>
        <w:t>-II, respectively</w:t>
      </w:r>
      <w:r w:rsidR="008F1F47" w:rsidRPr="006B3764">
        <w:rPr>
          <w:rFonts w:ascii="Garamond" w:hAnsi="Garamond"/>
          <w:bCs/>
          <w:sz w:val="24"/>
          <w:szCs w:val="24"/>
        </w:rPr>
        <w:t>.</w:t>
      </w:r>
      <w:r w:rsidR="003035B4">
        <w:rPr>
          <w:rStyle w:val="FootnoteReference"/>
          <w:rFonts w:ascii="Garamond" w:hAnsi="Garamond"/>
          <w:bCs/>
          <w:sz w:val="24"/>
          <w:szCs w:val="24"/>
        </w:rPr>
        <w:footnoteReference w:id="12"/>
      </w:r>
      <w:r w:rsidR="008F1F47">
        <w:rPr>
          <w:rFonts w:ascii="Garamond" w:hAnsi="Garamond"/>
          <w:bCs/>
          <w:sz w:val="24"/>
          <w:szCs w:val="24"/>
        </w:rPr>
        <w:t xml:space="preserve"> Only 17.8 percent of SDGs targets do not have the corresponding targets in GTP-II, indicating that the Ethiopian five year development plan captures well SDGs targets. </w:t>
      </w:r>
      <w:r w:rsidR="00CF7043">
        <w:rPr>
          <w:rFonts w:ascii="Garamond" w:hAnsi="Garamond"/>
          <w:bCs/>
          <w:sz w:val="24"/>
          <w:szCs w:val="24"/>
        </w:rPr>
        <w:t>Similarly, a</w:t>
      </w:r>
      <w:r w:rsidR="00CF7043" w:rsidRPr="006B3764">
        <w:rPr>
          <w:rFonts w:ascii="Garamond" w:hAnsi="Garamond"/>
          <w:bCs/>
          <w:sz w:val="24"/>
          <w:szCs w:val="24"/>
        </w:rPr>
        <w:t xml:space="preserve">bout </w:t>
      </w:r>
      <w:r w:rsidR="00CF7043">
        <w:rPr>
          <w:rFonts w:ascii="Garamond" w:hAnsi="Garamond"/>
          <w:bCs/>
          <w:sz w:val="24"/>
          <w:szCs w:val="24"/>
        </w:rPr>
        <w:t>43.3 percent</w:t>
      </w:r>
      <w:r w:rsidR="00CF7043" w:rsidRPr="006B3764">
        <w:rPr>
          <w:rFonts w:ascii="Garamond" w:hAnsi="Garamond"/>
          <w:bCs/>
          <w:sz w:val="24"/>
          <w:szCs w:val="24"/>
        </w:rPr>
        <w:t xml:space="preserve"> </w:t>
      </w:r>
      <w:r w:rsidR="00CF7043">
        <w:rPr>
          <w:rFonts w:ascii="Garamond" w:hAnsi="Garamond"/>
          <w:bCs/>
          <w:sz w:val="24"/>
          <w:szCs w:val="24"/>
        </w:rPr>
        <w:t>of SDGs indicators have corresponding indicators i</w:t>
      </w:r>
      <w:r w:rsidR="00CF7043" w:rsidRPr="006B3764">
        <w:rPr>
          <w:rFonts w:ascii="Garamond" w:hAnsi="Garamond"/>
          <w:bCs/>
          <w:sz w:val="24"/>
          <w:szCs w:val="24"/>
        </w:rPr>
        <w:t>n GTP</w:t>
      </w:r>
      <w:r w:rsidR="00CF7043">
        <w:rPr>
          <w:rFonts w:ascii="Garamond" w:hAnsi="Garamond"/>
          <w:bCs/>
          <w:sz w:val="24"/>
          <w:szCs w:val="24"/>
        </w:rPr>
        <w:t xml:space="preserve">-II. </w:t>
      </w:r>
    </w:p>
    <w:p w:rsidR="002650D4" w:rsidRDefault="002650D4" w:rsidP="00F602B4">
      <w:pPr>
        <w:spacing w:after="0" w:line="240" w:lineRule="auto"/>
        <w:jc w:val="both"/>
        <w:rPr>
          <w:rFonts w:ascii="Garamond" w:hAnsi="Garamond"/>
          <w:sz w:val="24"/>
          <w:szCs w:val="24"/>
        </w:rPr>
      </w:pPr>
    </w:p>
    <w:p w:rsidR="008A5CF7" w:rsidRPr="00D865C7" w:rsidRDefault="008A5CF7" w:rsidP="00F602B4">
      <w:pPr>
        <w:spacing w:after="0" w:line="240" w:lineRule="auto"/>
        <w:jc w:val="both"/>
        <w:rPr>
          <w:rFonts w:ascii="Garamond" w:hAnsi="Garamond"/>
        </w:rPr>
      </w:pPr>
      <w:bookmarkStart w:id="39" w:name="_Toc486585940"/>
      <w:r w:rsidRPr="00D865C7">
        <w:rPr>
          <w:rFonts w:ascii="Garamond" w:hAnsi="Garamond"/>
        </w:rPr>
        <w:t xml:space="preserve">Figure </w:t>
      </w:r>
      <w:r w:rsidR="00BF3BBC" w:rsidRPr="00D865C7">
        <w:rPr>
          <w:rFonts w:ascii="Garamond" w:hAnsi="Garamond"/>
        </w:rPr>
        <w:fldChar w:fldCharType="begin"/>
      </w:r>
      <w:r w:rsidRPr="00D865C7">
        <w:rPr>
          <w:rFonts w:ascii="Garamond" w:hAnsi="Garamond"/>
        </w:rPr>
        <w:instrText xml:space="preserve"> SEQ Figure \* ARABIC </w:instrText>
      </w:r>
      <w:r w:rsidR="00BF3BBC" w:rsidRPr="00D865C7">
        <w:rPr>
          <w:rFonts w:ascii="Garamond" w:hAnsi="Garamond"/>
        </w:rPr>
        <w:fldChar w:fldCharType="separate"/>
      </w:r>
      <w:r w:rsidR="006C24A4">
        <w:rPr>
          <w:rFonts w:ascii="Garamond" w:hAnsi="Garamond"/>
          <w:noProof/>
        </w:rPr>
        <w:t>5</w:t>
      </w:r>
      <w:r w:rsidR="00BF3BBC" w:rsidRPr="00D865C7">
        <w:rPr>
          <w:rFonts w:ascii="Garamond" w:hAnsi="Garamond"/>
        </w:rPr>
        <w:fldChar w:fldCharType="end"/>
      </w:r>
      <w:r w:rsidRPr="00D865C7">
        <w:rPr>
          <w:rFonts w:ascii="Garamond" w:hAnsi="Garamond"/>
        </w:rPr>
        <w:t>: Pillars of GTP-II</w:t>
      </w:r>
      <w:bookmarkEnd w:id="39"/>
    </w:p>
    <w:p w:rsidR="008A5CF7" w:rsidRDefault="008A5CF7" w:rsidP="008A5CF7">
      <w:pPr>
        <w:spacing w:after="0" w:line="240" w:lineRule="auto"/>
        <w:ind w:left="360"/>
        <w:jc w:val="both"/>
        <w:rPr>
          <w:rFonts w:ascii="Garamond" w:hAnsi="Garamond"/>
          <w:sz w:val="24"/>
          <w:szCs w:val="24"/>
        </w:rPr>
      </w:pPr>
      <w:r w:rsidRPr="002803C4">
        <w:rPr>
          <w:rFonts w:ascii="Garamond" w:hAnsi="Garamond"/>
          <w:noProof/>
          <w:sz w:val="24"/>
          <w:szCs w:val="24"/>
        </w:rPr>
        <w:drawing>
          <wp:inline distT="0" distB="0" distL="0" distR="0">
            <wp:extent cx="6467475" cy="40100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6468380" cy="4010586"/>
                    </a:xfrm>
                    <a:prstGeom prst="rect">
                      <a:avLst/>
                    </a:prstGeom>
                  </pic:spPr>
                </pic:pic>
              </a:graphicData>
            </a:graphic>
          </wp:inline>
        </w:drawing>
      </w:r>
    </w:p>
    <w:p w:rsidR="008A5CF7" w:rsidRDefault="008A5CF7" w:rsidP="008A5CF7">
      <w:pPr>
        <w:spacing w:after="0" w:line="240" w:lineRule="auto"/>
        <w:ind w:left="360"/>
        <w:jc w:val="both"/>
        <w:rPr>
          <w:rFonts w:ascii="Garamond" w:hAnsi="Garamond"/>
          <w:sz w:val="24"/>
          <w:szCs w:val="24"/>
        </w:rPr>
      </w:pPr>
      <w:r w:rsidRPr="002803C4">
        <w:rPr>
          <w:rFonts w:ascii="Garamond" w:hAnsi="Garamond"/>
          <w:sz w:val="24"/>
          <w:szCs w:val="24"/>
        </w:rPr>
        <w:t>Source: NPC (2015)</w:t>
      </w:r>
    </w:p>
    <w:p w:rsidR="00F602B4" w:rsidRDefault="00F602B4" w:rsidP="008A5CF7">
      <w:pPr>
        <w:spacing w:after="0" w:line="240" w:lineRule="auto"/>
        <w:ind w:left="360"/>
        <w:jc w:val="both"/>
        <w:rPr>
          <w:rFonts w:ascii="Garamond" w:hAnsi="Garamond"/>
          <w:sz w:val="24"/>
          <w:szCs w:val="24"/>
        </w:rPr>
      </w:pPr>
    </w:p>
    <w:p w:rsidR="008A5CF7" w:rsidRDefault="008A5CF7" w:rsidP="008A5CF7">
      <w:pPr>
        <w:spacing w:after="0" w:line="240" w:lineRule="auto"/>
        <w:ind w:left="360"/>
        <w:jc w:val="both"/>
        <w:rPr>
          <w:rFonts w:ascii="Garamond" w:hAnsi="Garamond"/>
          <w:sz w:val="24"/>
          <w:szCs w:val="24"/>
        </w:rPr>
      </w:pPr>
    </w:p>
    <w:p w:rsidR="008A5CF7" w:rsidRPr="009233D6" w:rsidRDefault="008A5CF7" w:rsidP="008A5CF7">
      <w:pPr>
        <w:pStyle w:val="Heading4"/>
        <w:spacing w:before="0" w:line="240" w:lineRule="auto"/>
        <w:rPr>
          <w:rFonts w:ascii="Garamond" w:hAnsi="Garamond"/>
          <w:b/>
          <w:i w:val="0"/>
          <w:sz w:val="24"/>
          <w:szCs w:val="24"/>
          <w:lang w:val="en-GB"/>
        </w:rPr>
      </w:pPr>
      <w:r>
        <w:rPr>
          <w:rFonts w:ascii="Garamond" w:hAnsi="Garamond"/>
          <w:b/>
          <w:i w:val="0"/>
          <w:sz w:val="24"/>
          <w:szCs w:val="24"/>
        </w:rPr>
        <w:t>3</w:t>
      </w:r>
      <w:r w:rsidRPr="009233D6">
        <w:rPr>
          <w:rFonts w:ascii="Garamond" w:hAnsi="Garamond"/>
          <w:b/>
          <w:i w:val="0"/>
          <w:sz w:val="24"/>
          <w:szCs w:val="24"/>
        </w:rPr>
        <w:t>.</w:t>
      </w:r>
      <w:r w:rsidR="009749A2">
        <w:rPr>
          <w:rFonts w:ascii="Garamond" w:hAnsi="Garamond"/>
          <w:b/>
          <w:i w:val="0"/>
          <w:sz w:val="24"/>
          <w:szCs w:val="24"/>
        </w:rPr>
        <w:t>2</w:t>
      </w:r>
      <w:r w:rsidRPr="009233D6">
        <w:rPr>
          <w:rFonts w:ascii="Garamond" w:hAnsi="Garamond"/>
          <w:b/>
          <w:i w:val="0"/>
          <w:sz w:val="24"/>
          <w:szCs w:val="24"/>
        </w:rPr>
        <w:t>.</w:t>
      </w:r>
      <w:r w:rsidR="009749A2">
        <w:rPr>
          <w:rFonts w:ascii="Garamond" w:hAnsi="Garamond"/>
          <w:b/>
          <w:i w:val="0"/>
          <w:sz w:val="24"/>
          <w:szCs w:val="24"/>
        </w:rPr>
        <w:t>4.</w:t>
      </w:r>
      <w:r w:rsidRPr="009233D6">
        <w:rPr>
          <w:rFonts w:ascii="Garamond" w:hAnsi="Garamond"/>
          <w:b/>
          <w:i w:val="0"/>
          <w:sz w:val="24"/>
          <w:szCs w:val="24"/>
        </w:rPr>
        <w:t xml:space="preserve">2 </w:t>
      </w:r>
      <w:r w:rsidRPr="009233D6">
        <w:rPr>
          <w:rFonts w:ascii="Garamond" w:hAnsi="Garamond"/>
          <w:b/>
          <w:i w:val="0"/>
          <w:sz w:val="24"/>
          <w:szCs w:val="24"/>
          <w:lang w:val="en-GB"/>
        </w:rPr>
        <w:t xml:space="preserve">GTP-II targets and indicators: An overview of GTP-II policy matrix </w:t>
      </w:r>
    </w:p>
    <w:p w:rsidR="008A5CF7" w:rsidRDefault="008A5CF7" w:rsidP="008A5CF7">
      <w:pPr>
        <w:spacing w:after="0" w:line="240" w:lineRule="auto"/>
        <w:jc w:val="both"/>
        <w:rPr>
          <w:rFonts w:ascii="Garamond" w:hAnsi="Garamond"/>
          <w:bCs/>
          <w:color w:val="000000"/>
          <w:sz w:val="24"/>
          <w:szCs w:val="24"/>
          <w:lang w:val="en-GB"/>
        </w:rPr>
      </w:pPr>
    </w:p>
    <w:p w:rsidR="008A5CF7" w:rsidRDefault="008A5CF7" w:rsidP="008A5CF7">
      <w:pPr>
        <w:spacing w:after="0" w:line="240" w:lineRule="auto"/>
        <w:jc w:val="both"/>
        <w:rPr>
          <w:rFonts w:ascii="Garamond" w:hAnsi="Garamond"/>
          <w:bCs/>
          <w:color w:val="000000"/>
          <w:sz w:val="24"/>
          <w:szCs w:val="24"/>
          <w:lang w:val="en-GB"/>
        </w:rPr>
      </w:pPr>
      <w:r w:rsidRPr="00353157">
        <w:rPr>
          <w:rFonts w:ascii="Garamond" w:hAnsi="Garamond"/>
          <w:bCs/>
          <w:color w:val="000000"/>
          <w:sz w:val="24"/>
          <w:szCs w:val="24"/>
          <w:lang w:val="en-GB"/>
        </w:rPr>
        <w:t xml:space="preserve">The </w:t>
      </w:r>
      <w:r>
        <w:rPr>
          <w:rFonts w:ascii="Garamond" w:hAnsi="Garamond"/>
          <w:bCs/>
          <w:color w:val="000000"/>
          <w:sz w:val="24"/>
          <w:szCs w:val="24"/>
          <w:lang w:val="en-GB"/>
        </w:rPr>
        <w:t xml:space="preserve">design </w:t>
      </w:r>
      <w:r w:rsidRPr="00353157">
        <w:rPr>
          <w:rFonts w:ascii="Garamond" w:hAnsi="Garamond"/>
          <w:bCs/>
          <w:color w:val="000000"/>
          <w:sz w:val="24"/>
          <w:szCs w:val="24"/>
          <w:lang w:val="en-GB"/>
        </w:rPr>
        <w:t xml:space="preserve">of  </w:t>
      </w:r>
      <w:r>
        <w:rPr>
          <w:rFonts w:ascii="Garamond" w:hAnsi="Garamond"/>
          <w:bCs/>
          <w:color w:val="000000"/>
          <w:sz w:val="24"/>
          <w:szCs w:val="24"/>
          <w:lang w:val="en-GB"/>
        </w:rPr>
        <w:t xml:space="preserve">GTP-II </w:t>
      </w:r>
      <w:r w:rsidRPr="00353157">
        <w:rPr>
          <w:rFonts w:ascii="Garamond" w:hAnsi="Garamond"/>
          <w:bCs/>
          <w:color w:val="000000"/>
          <w:sz w:val="24"/>
          <w:szCs w:val="24"/>
          <w:lang w:val="en-GB"/>
        </w:rPr>
        <w:t>policy matrix</w:t>
      </w:r>
      <w:r>
        <w:rPr>
          <w:rFonts w:ascii="Garamond" w:hAnsi="Garamond"/>
          <w:bCs/>
          <w:color w:val="000000"/>
          <w:sz w:val="24"/>
          <w:szCs w:val="24"/>
          <w:lang w:val="en-GB"/>
        </w:rPr>
        <w:t xml:space="preserve"> covers </w:t>
      </w:r>
      <w:r w:rsidRPr="00022078">
        <w:rPr>
          <w:rFonts w:ascii="Garamond" w:hAnsi="Garamond"/>
          <w:bCs/>
          <w:color w:val="000000"/>
          <w:sz w:val="24"/>
          <w:szCs w:val="24"/>
          <w:lang w:val="en-GB"/>
        </w:rPr>
        <w:t>the  main  goals  and  outputs  indicated  in  the  Second  Growth  and Transformation Plan</w:t>
      </w:r>
      <w:r>
        <w:rPr>
          <w:rFonts w:ascii="Garamond" w:hAnsi="Garamond"/>
          <w:bCs/>
          <w:color w:val="000000"/>
          <w:sz w:val="24"/>
          <w:szCs w:val="24"/>
          <w:lang w:val="en-GB"/>
        </w:rPr>
        <w:t>.</w:t>
      </w:r>
      <w:r w:rsidRPr="008A2428">
        <w:rPr>
          <w:rFonts w:ascii="Garamond" w:hAnsi="Garamond"/>
          <w:bCs/>
          <w:color w:val="000000"/>
          <w:sz w:val="24"/>
          <w:szCs w:val="24"/>
          <w:lang w:val="en-GB"/>
        </w:rPr>
        <w:t xml:space="preserve"> </w:t>
      </w:r>
      <w:r>
        <w:rPr>
          <w:rFonts w:ascii="Garamond" w:hAnsi="Garamond"/>
          <w:bCs/>
          <w:color w:val="000000"/>
          <w:sz w:val="24"/>
          <w:szCs w:val="24"/>
          <w:lang w:val="en-GB"/>
        </w:rPr>
        <w:t xml:space="preserve">The results framework consists of two main components: goals and priority areas and detailed policy matrix. The first component identifies priority areas along four </w:t>
      </w:r>
      <w:r>
        <w:rPr>
          <w:rFonts w:ascii="Garamond" w:hAnsi="Garamond"/>
          <w:bCs/>
          <w:color w:val="000000"/>
          <w:sz w:val="24"/>
          <w:szCs w:val="24"/>
          <w:lang w:val="en-GB"/>
        </w:rPr>
        <w:lastRenderedPageBreak/>
        <w:t>clusters: macroeconomy, economic clusters, g</w:t>
      </w:r>
      <w:r w:rsidRPr="008A2428">
        <w:rPr>
          <w:rFonts w:ascii="Garamond" w:hAnsi="Garamond"/>
          <w:bCs/>
          <w:color w:val="000000"/>
          <w:sz w:val="24"/>
          <w:szCs w:val="24"/>
          <w:lang w:val="en-GB"/>
        </w:rPr>
        <w:t xml:space="preserve">ood governance and </w:t>
      </w:r>
      <w:r>
        <w:rPr>
          <w:rFonts w:ascii="Garamond" w:hAnsi="Garamond"/>
          <w:bCs/>
          <w:color w:val="000000"/>
          <w:sz w:val="24"/>
          <w:szCs w:val="24"/>
          <w:lang w:val="en-GB"/>
        </w:rPr>
        <w:t>p</w:t>
      </w:r>
      <w:r w:rsidRPr="008A2428">
        <w:rPr>
          <w:rFonts w:ascii="Garamond" w:hAnsi="Garamond"/>
          <w:bCs/>
          <w:color w:val="000000"/>
          <w:sz w:val="24"/>
          <w:szCs w:val="24"/>
          <w:lang w:val="en-GB"/>
        </w:rPr>
        <w:t>ublic service reform</w:t>
      </w:r>
      <w:r>
        <w:rPr>
          <w:rFonts w:ascii="Garamond" w:hAnsi="Garamond"/>
          <w:bCs/>
          <w:color w:val="000000"/>
          <w:sz w:val="24"/>
          <w:szCs w:val="24"/>
          <w:lang w:val="en-GB"/>
        </w:rPr>
        <w:t xml:space="preserve">, and </w:t>
      </w:r>
      <w:r w:rsidRPr="008A2428">
        <w:rPr>
          <w:rFonts w:ascii="Garamond" w:hAnsi="Garamond"/>
          <w:bCs/>
          <w:color w:val="000000"/>
          <w:sz w:val="24"/>
          <w:szCs w:val="24"/>
          <w:lang w:val="en-GB"/>
        </w:rPr>
        <w:t>Social Affairs cluster</w:t>
      </w:r>
      <w:r>
        <w:rPr>
          <w:rFonts w:ascii="Garamond" w:hAnsi="Garamond"/>
          <w:bCs/>
          <w:color w:val="000000"/>
          <w:sz w:val="24"/>
          <w:szCs w:val="24"/>
          <w:lang w:val="en-GB"/>
        </w:rPr>
        <w:t xml:space="preserve">. For each cluster, there are corresponding goals. The second component provides detailed targets and indicators as well as implementing institutions along the four clusters. </w:t>
      </w:r>
      <w:r w:rsidRPr="00353157">
        <w:rPr>
          <w:rFonts w:ascii="Garamond" w:hAnsi="Garamond"/>
          <w:bCs/>
          <w:color w:val="000000"/>
          <w:sz w:val="24"/>
          <w:szCs w:val="24"/>
          <w:lang w:val="en-GB"/>
        </w:rPr>
        <w:t xml:space="preserve">The </w:t>
      </w:r>
      <w:r>
        <w:rPr>
          <w:rFonts w:ascii="Garamond" w:hAnsi="Garamond"/>
          <w:bCs/>
          <w:color w:val="000000"/>
          <w:sz w:val="24"/>
          <w:szCs w:val="24"/>
          <w:lang w:val="en-GB"/>
        </w:rPr>
        <w:t xml:space="preserve">design </w:t>
      </w:r>
      <w:r w:rsidRPr="00353157">
        <w:rPr>
          <w:rFonts w:ascii="Garamond" w:hAnsi="Garamond"/>
          <w:bCs/>
          <w:color w:val="000000"/>
          <w:sz w:val="24"/>
          <w:szCs w:val="24"/>
          <w:lang w:val="en-GB"/>
        </w:rPr>
        <w:t xml:space="preserve">of </w:t>
      </w:r>
      <w:r>
        <w:rPr>
          <w:rFonts w:ascii="Garamond" w:hAnsi="Garamond"/>
          <w:bCs/>
          <w:color w:val="000000"/>
          <w:sz w:val="24"/>
          <w:szCs w:val="24"/>
          <w:lang w:val="en-GB"/>
        </w:rPr>
        <w:t xml:space="preserve">GTP-II </w:t>
      </w:r>
      <w:r w:rsidRPr="00353157">
        <w:rPr>
          <w:rFonts w:ascii="Garamond" w:hAnsi="Garamond"/>
          <w:bCs/>
          <w:color w:val="000000"/>
          <w:sz w:val="24"/>
          <w:szCs w:val="24"/>
          <w:lang w:val="en-GB"/>
        </w:rPr>
        <w:t>policy matrix</w:t>
      </w:r>
      <w:r>
        <w:rPr>
          <w:rFonts w:ascii="Garamond" w:hAnsi="Garamond"/>
          <w:bCs/>
          <w:color w:val="000000"/>
          <w:sz w:val="24"/>
          <w:szCs w:val="24"/>
          <w:lang w:val="en-GB"/>
        </w:rPr>
        <w:t xml:space="preserve"> has benefited </w:t>
      </w:r>
      <w:r w:rsidRPr="00353157">
        <w:rPr>
          <w:rFonts w:ascii="Garamond" w:hAnsi="Garamond"/>
          <w:bCs/>
          <w:color w:val="000000"/>
          <w:sz w:val="24"/>
          <w:szCs w:val="24"/>
          <w:lang w:val="en-GB"/>
        </w:rPr>
        <w:t xml:space="preserve">from </w:t>
      </w:r>
      <w:r>
        <w:rPr>
          <w:rFonts w:ascii="Garamond" w:hAnsi="Garamond"/>
          <w:bCs/>
          <w:color w:val="000000"/>
          <w:sz w:val="24"/>
          <w:szCs w:val="24"/>
          <w:lang w:val="en-GB"/>
        </w:rPr>
        <w:t xml:space="preserve">previous similar experiences gained from the </w:t>
      </w:r>
      <w:r w:rsidRPr="00353157">
        <w:rPr>
          <w:rFonts w:ascii="Garamond" w:hAnsi="Garamond"/>
          <w:bCs/>
          <w:color w:val="000000"/>
          <w:sz w:val="24"/>
          <w:szCs w:val="24"/>
          <w:lang w:val="en-GB"/>
        </w:rPr>
        <w:t>implementation of the National Monitoring and Evaluation System which has been in place since 1996</w:t>
      </w:r>
      <w:r>
        <w:rPr>
          <w:rFonts w:ascii="Garamond" w:hAnsi="Garamond"/>
          <w:bCs/>
          <w:color w:val="000000"/>
          <w:sz w:val="24"/>
          <w:szCs w:val="24"/>
          <w:lang w:val="en-GB"/>
        </w:rPr>
        <w:t xml:space="preserve">. It is also based on previous experiences in the </w:t>
      </w:r>
      <w:r w:rsidRPr="00353157">
        <w:rPr>
          <w:rFonts w:ascii="Garamond" w:hAnsi="Garamond"/>
          <w:bCs/>
          <w:color w:val="000000"/>
          <w:sz w:val="24"/>
          <w:szCs w:val="24"/>
          <w:lang w:val="en-GB"/>
        </w:rPr>
        <w:t>mainstreaming of the MDGs targets and indicators into the national plans of the country.</w:t>
      </w:r>
      <w:r>
        <w:rPr>
          <w:rFonts w:ascii="Garamond" w:hAnsi="Garamond"/>
          <w:bCs/>
          <w:color w:val="000000"/>
          <w:sz w:val="24"/>
          <w:szCs w:val="24"/>
          <w:lang w:val="en-GB"/>
        </w:rPr>
        <w:t xml:space="preserve"> </w:t>
      </w:r>
    </w:p>
    <w:p w:rsidR="008A5CF7" w:rsidRDefault="008A5CF7" w:rsidP="008A5CF7">
      <w:pPr>
        <w:spacing w:after="0" w:line="240" w:lineRule="auto"/>
        <w:jc w:val="both"/>
        <w:rPr>
          <w:rFonts w:ascii="Garamond" w:hAnsi="Garamond"/>
          <w:bCs/>
          <w:color w:val="000000"/>
          <w:sz w:val="24"/>
          <w:szCs w:val="24"/>
          <w:lang w:val="en-GB"/>
        </w:rPr>
      </w:pPr>
    </w:p>
    <w:p w:rsidR="008A5CF7" w:rsidRDefault="008A5CF7" w:rsidP="008A5CF7">
      <w:pPr>
        <w:spacing w:after="0" w:line="240" w:lineRule="auto"/>
        <w:jc w:val="both"/>
        <w:rPr>
          <w:rFonts w:ascii="Garamond" w:hAnsi="Garamond"/>
          <w:bCs/>
          <w:color w:val="000000"/>
          <w:sz w:val="24"/>
          <w:szCs w:val="24"/>
          <w:lang w:val="en-GB"/>
        </w:rPr>
      </w:pPr>
      <w:r>
        <w:rPr>
          <w:rFonts w:ascii="Garamond" w:hAnsi="Garamond"/>
          <w:bCs/>
          <w:color w:val="000000"/>
          <w:sz w:val="24"/>
          <w:szCs w:val="24"/>
          <w:lang w:val="en-GB"/>
        </w:rPr>
        <w:t xml:space="preserve">Although the GTP-II policy matrix has shown improvements over its predecessor in terms of data, some of the </w:t>
      </w:r>
      <w:r w:rsidRPr="009719B6">
        <w:rPr>
          <w:rFonts w:ascii="Garamond" w:hAnsi="Garamond"/>
          <w:bCs/>
          <w:color w:val="000000"/>
          <w:sz w:val="24"/>
          <w:szCs w:val="24"/>
          <w:lang w:val="en-GB"/>
        </w:rPr>
        <w:t xml:space="preserve">indicators in the </w:t>
      </w:r>
      <w:r>
        <w:rPr>
          <w:rFonts w:ascii="Garamond" w:hAnsi="Garamond"/>
          <w:bCs/>
          <w:color w:val="000000"/>
          <w:sz w:val="24"/>
          <w:szCs w:val="24"/>
          <w:lang w:val="en-GB"/>
        </w:rPr>
        <w:t xml:space="preserve">GTP-II </w:t>
      </w:r>
      <w:r w:rsidRPr="009719B6">
        <w:rPr>
          <w:rFonts w:ascii="Garamond" w:hAnsi="Garamond"/>
          <w:bCs/>
          <w:color w:val="000000"/>
          <w:sz w:val="24"/>
          <w:szCs w:val="24"/>
          <w:lang w:val="en-GB"/>
        </w:rPr>
        <w:t>Policy Matrix could not be populated with data</w:t>
      </w:r>
      <w:r>
        <w:rPr>
          <w:rFonts w:ascii="Garamond" w:hAnsi="Garamond"/>
          <w:bCs/>
          <w:color w:val="000000"/>
          <w:sz w:val="24"/>
          <w:szCs w:val="24"/>
          <w:lang w:val="en-GB"/>
        </w:rPr>
        <w:t xml:space="preserve"> (e.g. some indicators from the agriculture and rural development). There are sectors with glaring problems with missing baseline data including industrial development, urban development and housing, science and technology development, and e</w:t>
      </w:r>
      <w:r w:rsidRPr="00A83764">
        <w:rPr>
          <w:rFonts w:ascii="Garamond" w:hAnsi="Garamond"/>
          <w:bCs/>
          <w:color w:val="000000"/>
          <w:sz w:val="24"/>
          <w:szCs w:val="24"/>
          <w:lang w:val="en-GB"/>
        </w:rPr>
        <w:t>nvironment and climate resilient green development</w:t>
      </w:r>
      <w:r>
        <w:rPr>
          <w:rFonts w:ascii="Garamond" w:hAnsi="Garamond"/>
          <w:bCs/>
          <w:color w:val="000000"/>
          <w:sz w:val="24"/>
          <w:szCs w:val="24"/>
          <w:lang w:val="en-GB"/>
        </w:rPr>
        <w:t xml:space="preserve">. This indicates </w:t>
      </w:r>
      <w:r w:rsidRPr="009719B6">
        <w:rPr>
          <w:rFonts w:ascii="Garamond" w:hAnsi="Garamond"/>
          <w:bCs/>
          <w:color w:val="000000"/>
          <w:sz w:val="24"/>
          <w:szCs w:val="24"/>
          <w:lang w:val="en-GB"/>
        </w:rPr>
        <w:t>a paucity of data to support results-oriented performance measurement across most sectors</w:t>
      </w:r>
      <w:r>
        <w:rPr>
          <w:rFonts w:ascii="Garamond" w:hAnsi="Garamond"/>
          <w:bCs/>
          <w:color w:val="000000"/>
          <w:sz w:val="24"/>
          <w:szCs w:val="24"/>
          <w:lang w:val="en-GB"/>
        </w:rPr>
        <w:t xml:space="preserve">. The recent M&amp;E Diagnostic study indicate that </w:t>
      </w:r>
      <w:r w:rsidRPr="00051E88">
        <w:rPr>
          <w:rFonts w:ascii="Garamond" w:hAnsi="Garamond"/>
          <w:bCs/>
          <w:color w:val="000000"/>
          <w:sz w:val="24"/>
          <w:szCs w:val="24"/>
          <w:lang w:val="en-GB"/>
        </w:rPr>
        <w:t>there are considerable data issues that have plagued the ability to measure and report on performance in Ethiopia, including the inability to populate many of the indicators of the GTP Policy Matrix</w:t>
      </w:r>
      <w:r>
        <w:rPr>
          <w:rFonts w:ascii="Garamond" w:hAnsi="Garamond"/>
          <w:bCs/>
          <w:color w:val="000000"/>
          <w:sz w:val="24"/>
          <w:szCs w:val="24"/>
          <w:lang w:val="en-GB"/>
        </w:rPr>
        <w:t xml:space="preserve"> (AfDB, 2014a)</w:t>
      </w:r>
      <w:r w:rsidRPr="00051E88">
        <w:rPr>
          <w:rFonts w:ascii="Garamond" w:hAnsi="Garamond"/>
          <w:bCs/>
          <w:color w:val="000000"/>
          <w:sz w:val="24"/>
          <w:szCs w:val="24"/>
          <w:lang w:val="en-GB"/>
        </w:rPr>
        <w:t>.</w:t>
      </w:r>
      <w:r>
        <w:rPr>
          <w:rFonts w:ascii="Garamond" w:hAnsi="Garamond"/>
          <w:bCs/>
          <w:color w:val="000000"/>
          <w:sz w:val="24"/>
          <w:szCs w:val="24"/>
          <w:lang w:val="en-GB"/>
        </w:rPr>
        <w:t xml:space="preserve"> In addition, the Policy matrix needs to include additional targets and indicators related to the Addis Ababa Action Agenda.</w:t>
      </w:r>
    </w:p>
    <w:p w:rsidR="008A5CF7" w:rsidRDefault="008A5CF7" w:rsidP="008A5CF7">
      <w:pPr>
        <w:spacing w:after="0" w:line="240" w:lineRule="auto"/>
        <w:jc w:val="both"/>
        <w:rPr>
          <w:rFonts w:ascii="Garamond" w:hAnsi="Garamond"/>
          <w:bCs/>
          <w:color w:val="000000"/>
          <w:sz w:val="24"/>
          <w:szCs w:val="24"/>
          <w:lang w:val="en-GB"/>
        </w:rPr>
      </w:pPr>
    </w:p>
    <w:p w:rsidR="009C0F9F" w:rsidRPr="004B6379" w:rsidRDefault="009C0F9F" w:rsidP="004B6379">
      <w:pPr>
        <w:pStyle w:val="Heading4"/>
        <w:rPr>
          <w:rFonts w:ascii="Garamond" w:hAnsi="Garamond"/>
          <w:b/>
          <w:i w:val="0"/>
          <w:sz w:val="24"/>
          <w:szCs w:val="24"/>
        </w:rPr>
      </w:pPr>
      <w:r w:rsidRPr="004B6379">
        <w:rPr>
          <w:rFonts w:ascii="Garamond" w:hAnsi="Garamond"/>
          <w:b/>
          <w:i w:val="0"/>
          <w:sz w:val="24"/>
          <w:szCs w:val="24"/>
        </w:rPr>
        <w:t>3.</w:t>
      </w:r>
      <w:r w:rsidR="00404AFA">
        <w:rPr>
          <w:rFonts w:ascii="Garamond" w:hAnsi="Garamond"/>
          <w:b/>
          <w:i w:val="0"/>
          <w:sz w:val="24"/>
          <w:szCs w:val="24"/>
        </w:rPr>
        <w:t>2</w:t>
      </w:r>
      <w:r w:rsidRPr="004B6379">
        <w:rPr>
          <w:rFonts w:ascii="Garamond" w:hAnsi="Garamond"/>
          <w:b/>
          <w:i w:val="0"/>
          <w:sz w:val="24"/>
          <w:szCs w:val="24"/>
        </w:rPr>
        <w:t>.4.</w:t>
      </w:r>
      <w:r w:rsidR="0070177A" w:rsidRPr="004B6379">
        <w:rPr>
          <w:rFonts w:ascii="Garamond" w:hAnsi="Garamond"/>
          <w:b/>
          <w:i w:val="0"/>
          <w:sz w:val="24"/>
          <w:szCs w:val="24"/>
        </w:rPr>
        <w:t>3</w:t>
      </w:r>
      <w:r w:rsidRPr="004B6379">
        <w:rPr>
          <w:rFonts w:ascii="Garamond" w:hAnsi="Garamond"/>
          <w:b/>
          <w:i w:val="0"/>
          <w:sz w:val="24"/>
          <w:szCs w:val="24"/>
        </w:rPr>
        <w:t xml:space="preserve"> An overview of expenditures during GTP-II period</w:t>
      </w:r>
    </w:p>
    <w:p w:rsidR="009C0F9F" w:rsidRDefault="009C0F9F" w:rsidP="009C0F9F">
      <w:pPr>
        <w:spacing w:after="0" w:line="240" w:lineRule="auto"/>
        <w:jc w:val="both"/>
        <w:rPr>
          <w:rFonts w:ascii="Garamond" w:hAnsi="Garamond"/>
          <w:sz w:val="24"/>
          <w:szCs w:val="24"/>
        </w:rPr>
      </w:pPr>
    </w:p>
    <w:p w:rsidR="009C0F9F" w:rsidRDefault="009C0F9F" w:rsidP="009C0F9F">
      <w:pPr>
        <w:spacing w:after="0" w:line="240" w:lineRule="auto"/>
        <w:jc w:val="both"/>
        <w:rPr>
          <w:rFonts w:ascii="Garamond" w:hAnsi="Garamond"/>
          <w:sz w:val="24"/>
          <w:szCs w:val="24"/>
        </w:rPr>
      </w:pPr>
      <w:r>
        <w:rPr>
          <w:rFonts w:ascii="Garamond" w:hAnsi="Garamond"/>
          <w:sz w:val="24"/>
          <w:szCs w:val="24"/>
        </w:rPr>
        <w:t>The main plan document includes not only activities and development interventions but also expenditures during the plan period. Given the planned activities and interventions both at macro and sectoral levels, t</w:t>
      </w:r>
      <w:r w:rsidRPr="000B6527">
        <w:rPr>
          <w:rFonts w:ascii="Garamond" w:hAnsi="Garamond"/>
          <w:sz w:val="24"/>
          <w:szCs w:val="24"/>
        </w:rPr>
        <w:t>otal government expenditure is projected to ETB 2.</w:t>
      </w:r>
      <w:r>
        <w:rPr>
          <w:rFonts w:ascii="Garamond" w:hAnsi="Garamond"/>
          <w:sz w:val="24"/>
          <w:szCs w:val="24"/>
        </w:rPr>
        <w:t>3</w:t>
      </w:r>
      <w:r w:rsidRPr="000B6527">
        <w:rPr>
          <w:rFonts w:ascii="Garamond" w:hAnsi="Garamond"/>
          <w:sz w:val="24"/>
          <w:szCs w:val="24"/>
        </w:rPr>
        <w:t xml:space="preserve"> trillion</w:t>
      </w:r>
      <w:r>
        <w:rPr>
          <w:rFonts w:ascii="Garamond" w:hAnsi="Garamond"/>
          <w:sz w:val="24"/>
          <w:szCs w:val="24"/>
        </w:rPr>
        <w:t xml:space="preserve">, with </w:t>
      </w:r>
      <w:r w:rsidRPr="000B6527">
        <w:rPr>
          <w:rFonts w:ascii="Garamond" w:hAnsi="Garamond"/>
          <w:sz w:val="24"/>
          <w:szCs w:val="24"/>
        </w:rPr>
        <w:t xml:space="preserve">ETB 1.3 trillion for </w:t>
      </w:r>
      <w:r>
        <w:rPr>
          <w:rFonts w:ascii="Garamond" w:hAnsi="Garamond"/>
          <w:sz w:val="24"/>
          <w:szCs w:val="24"/>
        </w:rPr>
        <w:t>capital expenditure and ETB 0.99</w:t>
      </w:r>
      <w:r w:rsidRPr="000B6527">
        <w:rPr>
          <w:rFonts w:ascii="Garamond" w:hAnsi="Garamond"/>
          <w:sz w:val="24"/>
          <w:szCs w:val="24"/>
        </w:rPr>
        <w:t xml:space="preserve"> trillion for </w:t>
      </w:r>
      <w:r>
        <w:rPr>
          <w:rFonts w:ascii="Garamond" w:hAnsi="Garamond"/>
          <w:sz w:val="24"/>
          <w:szCs w:val="24"/>
        </w:rPr>
        <w:t>recurrent expenditure</w:t>
      </w:r>
      <w:r w:rsidRPr="000B6527">
        <w:rPr>
          <w:rFonts w:ascii="Garamond" w:hAnsi="Garamond"/>
          <w:sz w:val="24"/>
          <w:szCs w:val="24"/>
        </w:rPr>
        <w:t xml:space="preserve"> during the plan period. </w:t>
      </w:r>
      <w:r>
        <w:rPr>
          <w:rFonts w:ascii="Garamond" w:hAnsi="Garamond"/>
          <w:sz w:val="24"/>
          <w:szCs w:val="24"/>
        </w:rPr>
        <w:t>Such allocation of expenditure reflects government’s focus on investment in economic and social sectors. C</w:t>
      </w:r>
      <w:r w:rsidRPr="000B6527">
        <w:rPr>
          <w:rFonts w:ascii="Garamond" w:hAnsi="Garamond"/>
          <w:sz w:val="24"/>
          <w:szCs w:val="24"/>
        </w:rPr>
        <w:t xml:space="preserve">apital expenditure on infrastructure sector accounts for 48.4 percent of total capital expenditure. </w:t>
      </w:r>
      <w:r>
        <w:rPr>
          <w:rFonts w:ascii="Garamond" w:hAnsi="Garamond"/>
          <w:sz w:val="24"/>
          <w:szCs w:val="24"/>
        </w:rPr>
        <w:t>Further breakdown of capital expenditure reflects that drinking water and irrigation and energy account for 44.9 percent of capital expenditure, while</w:t>
      </w:r>
      <w:r w:rsidRPr="000B6527">
        <w:rPr>
          <w:rFonts w:ascii="Garamond" w:hAnsi="Garamond"/>
          <w:sz w:val="24"/>
          <w:szCs w:val="24"/>
        </w:rPr>
        <w:t xml:space="preserve"> road, railway infrastructures account for 2 percent and 1.5 percent, respectively. Human resource development and technological capacity building sector account for 28.5 percent of total capital expenditure</w:t>
      </w:r>
      <w:r>
        <w:rPr>
          <w:rFonts w:ascii="Garamond" w:hAnsi="Garamond"/>
          <w:sz w:val="24"/>
          <w:szCs w:val="24"/>
        </w:rPr>
        <w:t xml:space="preserve">. Within this, </w:t>
      </w:r>
      <w:r w:rsidRPr="000B6527">
        <w:rPr>
          <w:rFonts w:ascii="Garamond" w:hAnsi="Garamond"/>
          <w:sz w:val="24"/>
          <w:szCs w:val="24"/>
        </w:rPr>
        <w:t>education and training, health, and science and technology capacity building accounts for 16.6 percent, 10.6 percent and 1.3 percent</w:t>
      </w:r>
      <w:r>
        <w:rPr>
          <w:rFonts w:ascii="Garamond" w:hAnsi="Garamond"/>
          <w:sz w:val="24"/>
          <w:szCs w:val="24"/>
        </w:rPr>
        <w:t>,</w:t>
      </w:r>
      <w:r w:rsidRPr="000B6527">
        <w:rPr>
          <w:rFonts w:ascii="Garamond" w:hAnsi="Garamond"/>
          <w:sz w:val="24"/>
          <w:szCs w:val="24"/>
        </w:rPr>
        <w:t xml:space="preserve"> respectively.</w:t>
      </w:r>
    </w:p>
    <w:p w:rsidR="009C0F9F" w:rsidRDefault="009C0F9F" w:rsidP="009C0F9F">
      <w:pPr>
        <w:spacing w:after="0" w:line="240" w:lineRule="auto"/>
        <w:jc w:val="both"/>
        <w:rPr>
          <w:rFonts w:ascii="Garamond" w:hAnsi="Garamond"/>
          <w:sz w:val="24"/>
          <w:szCs w:val="24"/>
        </w:rPr>
      </w:pPr>
    </w:p>
    <w:p w:rsidR="009C0F9F" w:rsidRPr="00212B95" w:rsidRDefault="009C0F9F" w:rsidP="009C0F9F">
      <w:pPr>
        <w:spacing w:after="0" w:line="240" w:lineRule="auto"/>
        <w:jc w:val="both"/>
        <w:rPr>
          <w:rFonts w:ascii="Garamond" w:hAnsi="Garamond"/>
          <w:sz w:val="24"/>
          <w:szCs w:val="24"/>
        </w:rPr>
      </w:pPr>
      <w:r w:rsidRPr="00212B95">
        <w:rPr>
          <w:rFonts w:ascii="Garamond" w:hAnsi="Garamond"/>
          <w:sz w:val="24"/>
          <w:szCs w:val="24"/>
        </w:rPr>
        <w:t>The economic development sector consists of agriculture and rural transformation, manufacturing and other sectors. This sector is projected to account for 20.3 percent of</w:t>
      </w:r>
      <w:r>
        <w:rPr>
          <w:rFonts w:ascii="Garamond" w:hAnsi="Garamond"/>
          <w:sz w:val="24"/>
          <w:szCs w:val="24"/>
        </w:rPr>
        <w:t xml:space="preserve"> </w:t>
      </w:r>
      <w:r w:rsidRPr="00212B95">
        <w:rPr>
          <w:rFonts w:ascii="Garamond" w:hAnsi="Garamond"/>
          <w:sz w:val="24"/>
          <w:szCs w:val="24"/>
        </w:rPr>
        <w:t xml:space="preserve">total capital expenditure. Of this, the share of the manufacturing sector would account for a large proportion </w:t>
      </w:r>
      <w:r>
        <w:rPr>
          <w:rFonts w:ascii="Garamond" w:hAnsi="Garamond" w:cs="MyriadPro-Cond"/>
          <w:color w:val="045DAA"/>
          <w:sz w:val="24"/>
          <w:szCs w:val="24"/>
        </w:rPr>
        <w:t xml:space="preserve">(15.2 </w:t>
      </w:r>
      <w:r w:rsidRPr="00212B95">
        <w:rPr>
          <w:rFonts w:ascii="Garamond" w:hAnsi="Garamond"/>
          <w:sz w:val="24"/>
          <w:szCs w:val="24"/>
        </w:rPr>
        <w:t xml:space="preserve">percent), while agriculture and rural transformation accounts for </w:t>
      </w:r>
      <w:r>
        <w:rPr>
          <w:rFonts w:ascii="Garamond" w:hAnsi="Garamond"/>
          <w:sz w:val="24"/>
          <w:szCs w:val="24"/>
        </w:rPr>
        <w:t>3.8</w:t>
      </w:r>
      <w:r w:rsidRPr="00212B95">
        <w:rPr>
          <w:rFonts w:ascii="Garamond" w:hAnsi="Garamond"/>
          <w:sz w:val="24"/>
          <w:szCs w:val="24"/>
        </w:rPr>
        <w:t xml:space="preserve"> percent. </w:t>
      </w:r>
    </w:p>
    <w:p w:rsidR="009C0F9F" w:rsidRPr="00DB5824" w:rsidRDefault="009C0F9F" w:rsidP="009C0F9F">
      <w:pPr>
        <w:pStyle w:val="Caption"/>
        <w:spacing w:after="0"/>
      </w:pPr>
      <w:bookmarkStart w:id="40" w:name="_Toc486585941"/>
      <w:r w:rsidRPr="00121285">
        <w:rPr>
          <w:rFonts w:ascii="Garamond" w:hAnsi="Garamond" w:cs="MyriadPro-Cond"/>
          <w:color w:val="045DAA"/>
          <w:sz w:val="22"/>
          <w:szCs w:val="22"/>
        </w:rPr>
        <w:lastRenderedPageBreak/>
        <w:t>Figure</w:t>
      </w:r>
      <w:r w:rsidRPr="00121285">
        <w:rPr>
          <w:rFonts w:ascii="Garamond" w:hAnsi="Garamond"/>
          <w:sz w:val="22"/>
          <w:szCs w:val="22"/>
        </w:rPr>
        <w:t xml:space="preserve"> </w:t>
      </w:r>
      <w:r w:rsidR="00BF3BBC" w:rsidRPr="00121285">
        <w:rPr>
          <w:rFonts w:ascii="Garamond" w:hAnsi="Garamond"/>
          <w:sz w:val="22"/>
          <w:szCs w:val="22"/>
        </w:rPr>
        <w:fldChar w:fldCharType="begin"/>
      </w:r>
      <w:r w:rsidRPr="00121285">
        <w:rPr>
          <w:rFonts w:ascii="Garamond" w:hAnsi="Garamond"/>
          <w:sz w:val="22"/>
          <w:szCs w:val="22"/>
        </w:rPr>
        <w:instrText xml:space="preserve"> SEQ Figure \* ARABIC </w:instrText>
      </w:r>
      <w:r w:rsidR="00BF3BBC" w:rsidRPr="00121285">
        <w:rPr>
          <w:rFonts w:ascii="Garamond" w:hAnsi="Garamond"/>
          <w:sz w:val="22"/>
          <w:szCs w:val="22"/>
        </w:rPr>
        <w:fldChar w:fldCharType="separate"/>
      </w:r>
      <w:r w:rsidR="006C24A4">
        <w:rPr>
          <w:rFonts w:ascii="Garamond" w:hAnsi="Garamond"/>
          <w:noProof/>
          <w:sz w:val="22"/>
          <w:szCs w:val="22"/>
        </w:rPr>
        <w:t>6</w:t>
      </w:r>
      <w:r w:rsidR="00BF3BBC" w:rsidRPr="00121285">
        <w:rPr>
          <w:rFonts w:ascii="Garamond" w:hAnsi="Garamond"/>
          <w:sz w:val="22"/>
          <w:szCs w:val="22"/>
        </w:rPr>
        <w:fldChar w:fldCharType="end"/>
      </w:r>
      <w:r w:rsidRPr="00121285">
        <w:rPr>
          <w:rFonts w:ascii="Garamond" w:hAnsi="Garamond" w:cs="MyriadPro-Cond"/>
          <w:color w:val="045DAA"/>
          <w:sz w:val="22"/>
          <w:szCs w:val="22"/>
        </w:rPr>
        <w:t>: Distribution of projected capital expenditure requirements by major socioeconomic sectors (Percent)</w:t>
      </w:r>
      <w:r w:rsidRPr="003506E9">
        <w:rPr>
          <w:rFonts w:ascii="Garamond" w:hAnsi="Garamond" w:cs="MyriadPro-Cond"/>
          <w:color w:val="045DAA"/>
          <w:sz w:val="24"/>
          <w:szCs w:val="24"/>
        </w:rPr>
        <w:t xml:space="preserve"> </w:t>
      </w:r>
      <w:r w:rsidRPr="00DB5824">
        <w:rPr>
          <w:noProof/>
          <w:lang w:val="en-US" w:eastAsia="en-US"/>
        </w:rPr>
        <w:drawing>
          <wp:inline distT="0" distB="0" distL="0" distR="0">
            <wp:extent cx="6356350" cy="2038350"/>
            <wp:effectExtent l="0" t="0" r="63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40"/>
    </w:p>
    <w:p w:rsidR="009C0F9F" w:rsidRDefault="009C0F9F" w:rsidP="009C0F9F">
      <w:pPr>
        <w:spacing w:after="0" w:line="240" w:lineRule="auto"/>
        <w:jc w:val="both"/>
        <w:rPr>
          <w:rFonts w:ascii="Garamond" w:hAnsi="Garamond"/>
        </w:rPr>
      </w:pPr>
      <w:r w:rsidRPr="001E52B3">
        <w:rPr>
          <w:rFonts w:ascii="Garamond" w:hAnsi="Garamond"/>
        </w:rPr>
        <w:t xml:space="preserve">Source: NPC (2016), volume II. </w:t>
      </w:r>
    </w:p>
    <w:p w:rsidR="008046F4" w:rsidRDefault="00984D34" w:rsidP="00984D34">
      <w:pPr>
        <w:pStyle w:val="Heading1"/>
        <w:spacing w:before="0" w:line="240" w:lineRule="auto"/>
        <w:jc w:val="center"/>
        <w:rPr>
          <w:rFonts w:ascii="Garamond" w:hAnsi="Garamond"/>
          <w:b/>
          <w:sz w:val="24"/>
          <w:szCs w:val="24"/>
        </w:rPr>
      </w:pPr>
      <w:bookmarkStart w:id="41" w:name="_Toc486782264"/>
      <w:r>
        <w:rPr>
          <w:rFonts w:ascii="Garamond" w:hAnsi="Garamond"/>
          <w:b/>
          <w:sz w:val="24"/>
          <w:szCs w:val="24"/>
        </w:rPr>
        <w:t xml:space="preserve">4. </w:t>
      </w:r>
      <w:r w:rsidR="003C0B34">
        <w:rPr>
          <w:rFonts w:ascii="Garamond" w:hAnsi="Garamond"/>
          <w:b/>
          <w:sz w:val="24"/>
          <w:szCs w:val="24"/>
        </w:rPr>
        <w:t>M</w:t>
      </w:r>
      <w:r w:rsidR="008046F4" w:rsidRPr="001D5BB3">
        <w:rPr>
          <w:rFonts w:ascii="Garamond" w:hAnsi="Garamond"/>
          <w:b/>
          <w:sz w:val="24"/>
          <w:szCs w:val="24"/>
        </w:rPr>
        <w:t>eans of implementation of development plans</w:t>
      </w:r>
      <w:r w:rsidR="003C0B34">
        <w:rPr>
          <w:rFonts w:ascii="Garamond" w:hAnsi="Garamond"/>
          <w:b/>
          <w:sz w:val="24"/>
          <w:szCs w:val="24"/>
        </w:rPr>
        <w:t>: Institutions, planning, and budgeting</w:t>
      </w:r>
      <w:bookmarkEnd w:id="41"/>
      <w:r w:rsidR="003C0B34">
        <w:rPr>
          <w:rFonts w:ascii="Garamond" w:hAnsi="Garamond"/>
          <w:b/>
          <w:sz w:val="24"/>
          <w:szCs w:val="24"/>
        </w:rPr>
        <w:t xml:space="preserve"> </w:t>
      </w:r>
    </w:p>
    <w:p w:rsidR="008046F4" w:rsidRDefault="008046F4" w:rsidP="00C26A15">
      <w:pPr>
        <w:spacing w:after="0" w:line="240" w:lineRule="auto"/>
      </w:pPr>
    </w:p>
    <w:p w:rsidR="008046F4" w:rsidRDefault="008046F4" w:rsidP="00C26A15">
      <w:pPr>
        <w:spacing w:after="0" w:line="240" w:lineRule="auto"/>
        <w:jc w:val="both"/>
        <w:rPr>
          <w:rFonts w:ascii="Garamond" w:hAnsi="Garamond"/>
          <w:sz w:val="24"/>
          <w:szCs w:val="24"/>
        </w:rPr>
      </w:pPr>
      <w:r w:rsidRPr="004F40FF">
        <w:rPr>
          <w:rFonts w:ascii="Garamond" w:hAnsi="Garamond"/>
          <w:sz w:val="24"/>
          <w:szCs w:val="24"/>
        </w:rPr>
        <w:t>Achieving sustainable development</w:t>
      </w:r>
      <w:r w:rsidR="00705C83">
        <w:rPr>
          <w:rFonts w:ascii="Garamond" w:hAnsi="Garamond"/>
          <w:sz w:val="24"/>
          <w:szCs w:val="24"/>
        </w:rPr>
        <w:t xml:space="preserve"> and the 2025 vision of the country</w:t>
      </w:r>
      <w:r w:rsidRPr="004F40FF">
        <w:rPr>
          <w:rFonts w:ascii="Garamond" w:hAnsi="Garamond"/>
          <w:sz w:val="24"/>
          <w:szCs w:val="24"/>
        </w:rPr>
        <w:t xml:space="preserve"> depends a great deal on high-level political commitment, well-functioning government institutions and overcoming co-ordination failures in public policies</w:t>
      </w:r>
      <w:r>
        <w:rPr>
          <w:rFonts w:ascii="Garamond" w:hAnsi="Garamond"/>
          <w:sz w:val="24"/>
          <w:szCs w:val="24"/>
        </w:rPr>
        <w:t xml:space="preserve"> and implementation</w:t>
      </w:r>
      <w:r w:rsidRPr="004F40FF">
        <w:rPr>
          <w:rFonts w:ascii="Garamond" w:hAnsi="Garamond"/>
          <w:sz w:val="24"/>
          <w:szCs w:val="24"/>
        </w:rPr>
        <w:t>.</w:t>
      </w:r>
      <w:r>
        <w:rPr>
          <w:rFonts w:ascii="Garamond" w:hAnsi="Garamond"/>
          <w:sz w:val="24"/>
          <w:szCs w:val="24"/>
        </w:rPr>
        <w:t xml:space="preserve"> </w:t>
      </w:r>
      <w:r w:rsidRPr="000E42A7">
        <w:rPr>
          <w:rFonts w:ascii="Garamond" w:hAnsi="Garamond"/>
          <w:sz w:val="24"/>
          <w:szCs w:val="24"/>
        </w:rPr>
        <w:t xml:space="preserve">The implementation  of </w:t>
      </w:r>
      <w:r>
        <w:rPr>
          <w:rFonts w:ascii="Garamond" w:hAnsi="Garamond"/>
          <w:sz w:val="24"/>
          <w:szCs w:val="24"/>
        </w:rPr>
        <w:t xml:space="preserve">development plans </w:t>
      </w:r>
      <w:r w:rsidRPr="000E42A7">
        <w:rPr>
          <w:rFonts w:ascii="Garamond" w:hAnsi="Garamond"/>
          <w:sz w:val="24"/>
          <w:szCs w:val="24"/>
        </w:rPr>
        <w:t>requires  more  effective alignment  of  incentives,  a  better  allocation  of  existing  resources  and additional funds from domestic, external and  innovative sources.</w:t>
      </w:r>
    </w:p>
    <w:p w:rsidR="003D4C4D" w:rsidRPr="004F40FF" w:rsidRDefault="003D4C4D" w:rsidP="00C26A15">
      <w:pPr>
        <w:spacing w:after="0" w:line="240" w:lineRule="auto"/>
        <w:jc w:val="both"/>
        <w:rPr>
          <w:rFonts w:ascii="Garamond" w:hAnsi="Garamond"/>
          <w:sz w:val="24"/>
          <w:szCs w:val="24"/>
        </w:rPr>
      </w:pPr>
    </w:p>
    <w:p w:rsidR="008046F4" w:rsidRDefault="00047051" w:rsidP="00C26A15">
      <w:pPr>
        <w:pStyle w:val="Heading2"/>
        <w:spacing w:before="0" w:line="240" w:lineRule="auto"/>
        <w:rPr>
          <w:rFonts w:ascii="Garamond" w:hAnsi="Garamond"/>
          <w:b/>
          <w:sz w:val="24"/>
          <w:szCs w:val="24"/>
        </w:rPr>
      </w:pPr>
      <w:bookmarkStart w:id="42" w:name="_Toc486782265"/>
      <w:r>
        <w:rPr>
          <w:rFonts w:ascii="Garamond" w:hAnsi="Garamond"/>
          <w:b/>
          <w:sz w:val="24"/>
          <w:szCs w:val="24"/>
        </w:rPr>
        <w:t>4</w:t>
      </w:r>
      <w:r w:rsidR="008B5DB8">
        <w:rPr>
          <w:rFonts w:ascii="Garamond" w:hAnsi="Garamond"/>
          <w:b/>
          <w:sz w:val="24"/>
          <w:szCs w:val="24"/>
        </w:rPr>
        <w:t>.</w:t>
      </w:r>
      <w:r w:rsidR="008046F4" w:rsidRPr="001D5BB3">
        <w:rPr>
          <w:rFonts w:ascii="Garamond" w:hAnsi="Garamond"/>
          <w:b/>
          <w:sz w:val="24"/>
          <w:szCs w:val="24"/>
        </w:rPr>
        <w:t xml:space="preserve">1 Institutional arrangement </w:t>
      </w:r>
      <w:r w:rsidR="001D4C6C">
        <w:rPr>
          <w:rFonts w:ascii="Garamond" w:hAnsi="Garamond"/>
          <w:b/>
          <w:sz w:val="24"/>
          <w:szCs w:val="24"/>
        </w:rPr>
        <w:t>for plan preparation</w:t>
      </w:r>
      <w:bookmarkEnd w:id="42"/>
      <w:r w:rsidR="001D4C6C">
        <w:rPr>
          <w:rFonts w:ascii="Garamond" w:hAnsi="Garamond"/>
          <w:b/>
          <w:sz w:val="24"/>
          <w:szCs w:val="24"/>
        </w:rPr>
        <w:t xml:space="preserve"> </w:t>
      </w:r>
    </w:p>
    <w:p w:rsidR="008046F4" w:rsidRDefault="008046F4" w:rsidP="00C26A15">
      <w:pPr>
        <w:autoSpaceDE w:val="0"/>
        <w:autoSpaceDN w:val="0"/>
        <w:adjustRightInd w:val="0"/>
        <w:spacing w:after="0" w:line="240" w:lineRule="auto"/>
        <w:jc w:val="both"/>
        <w:rPr>
          <w:rFonts w:ascii="Garamond" w:hAnsi="Garamond"/>
          <w:sz w:val="24"/>
          <w:szCs w:val="24"/>
        </w:rPr>
      </w:pPr>
    </w:p>
    <w:p w:rsidR="008046F4" w:rsidRPr="00CC090C" w:rsidRDefault="008046F4" w:rsidP="00C26A15">
      <w:pPr>
        <w:autoSpaceDE w:val="0"/>
        <w:autoSpaceDN w:val="0"/>
        <w:adjustRightInd w:val="0"/>
        <w:spacing w:after="0" w:line="240" w:lineRule="auto"/>
        <w:jc w:val="both"/>
        <w:rPr>
          <w:rFonts w:ascii="Garamond" w:hAnsi="Garamond"/>
          <w:sz w:val="24"/>
          <w:szCs w:val="24"/>
        </w:rPr>
      </w:pPr>
      <w:r w:rsidRPr="00CC090C">
        <w:rPr>
          <w:rFonts w:ascii="Garamond" w:hAnsi="Garamond"/>
          <w:sz w:val="24"/>
          <w:szCs w:val="24"/>
        </w:rPr>
        <w:t xml:space="preserve">Sustainable </w:t>
      </w:r>
      <w:r>
        <w:rPr>
          <w:rFonts w:ascii="Garamond" w:hAnsi="Garamond"/>
          <w:sz w:val="24"/>
          <w:szCs w:val="24"/>
        </w:rPr>
        <w:t xml:space="preserve">development </w:t>
      </w:r>
      <w:r w:rsidRPr="00CC090C">
        <w:rPr>
          <w:rFonts w:ascii="Garamond" w:hAnsi="Garamond"/>
          <w:sz w:val="24"/>
          <w:szCs w:val="24"/>
        </w:rPr>
        <w:t>is a shared responsibility of all levels of government, the private sector</w:t>
      </w:r>
      <w:r>
        <w:rPr>
          <w:rFonts w:ascii="Garamond" w:hAnsi="Garamond"/>
          <w:sz w:val="24"/>
          <w:szCs w:val="24"/>
        </w:rPr>
        <w:t>,</w:t>
      </w:r>
      <w:r w:rsidRPr="00CC090C">
        <w:rPr>
          <w:rFonts w:ascii="Garamond" w:hAnsi="Garamond"/>
          <w:sz w:val="24"/>
          <w:szCs w:val="24"/>
        </w:rPr>
        <w:t xml:space="preserve"> and civil society. </w:t>
      </w:r>
      <w:r>
        <w:rPr>
          <w:rFonts w:ascii="Garamond" w:hAnsi="Garamond"/>
          <w:sz w:val="24"/>
          <w:szCs w:val="24"/>
        </w:rPr>
        <w:t>It should be noted that a</w:t>
      </w:r>
      <w:r w:rsidRPr="00CC090C">
        <w:rPr>
          <w:rFonts w:ascii="Garamond" w:hAnsi="Garamond"/>
          <w:sz w:val="24"/>
          <w:szCs w:val="24"/>
        </w:rPr>
        <w:t>chieving sustainable development depends</w:t>
      </w:r>
      <w:r>
        <w:rPr>
          <w:rFonts w:ascii="Garamond" w:hAnsi="Garamond"/>
          <w:sz w:val="24"/>
          <w:szCs w:val="24"/>
        </w:rPr>
        <w:t>,</w:t>
      </w:r>
      <w:r w:rsidRPr="00CC090C">
        <w:rPr>
          <w:rFonts w:ascii="Garamond" w:hAnsi="Garamond"/>
          <w:sz w:val="24"/>
          <w:szCs w:val="24"/>
        </w:rPr>
        <w:t xml:space="preserve"> </w:t>
      </w:r>
      <w:r>
        <w:rPr>
          <w:rFonts w:ascii="Garamond" w:hAnsi="Garamond"/>
          <w:sz w:val="24"/>
          <w:szCs w:val="24"/>
        </w:rPr>
        <w:t xml:space="preserve">among others, on strong </w:t>
      </w:r>
      <w:r w:rsidRPr="00CC090C">
        <w:rPr>
          <w:rFonts w:ascii="Garamond" w:hAnsi="Garamond"/>
          <w:sz w:val="24"/>
          <w:szCs w:val="24"/>
        </w:rPr>
        <w:t>political commitment, well-functioning government institutions and overcoming co-ordination failures</w:t>
      </w:r>
      <w:r>
        <w:rPr>
          <w:rFonts w:ascii="Garamond" w:hAnsi="Garamond"/>
          <w:sz w:val="24"/>
          <w:szCs w:val="24"/>
        </w:rPr>
        <w:t xml:space="preserve"> both at policy and implementation levels</w:t>
      </w:r>
      <w:r w:rsidRPr="00CC090C">
        <w:rPr>
          <w:rFonts w:ascii="Garamond" w:hAnsi="Garamond"/>
          <w:sz w:val="24"/>
          <w:szCs w:val="24"/>
        </w:rPr>
        <w:t xml:space="preserve"> </w:t>
      </w:r>
      <w:r>
        <w:rPr>
          <w:rFonts w:ascii="Garamond" w:hAnsi="Garamond"/>
          <w:sz w:val="24"/>
          <w:szCs w:val="24"/>
        </w:rPr>
        <w:t>(OECD, 2006)</w:t>
      </w:r>
      <w:r w:rsidRPr="00CC090C">
        <w:rPr>
          <w:rFonts w:ascii="Garamond" w:hAnsi="Garamond"/>
          <w:sz w:val="24"/>
          <w:szCs w:val="24"/>
        </w:rPr>
        <w:t>.</w:t>
      </w:r>
    </w:p>
    <w:p w:rsidR="008046F4" w:rsidRDefault="008046F4" w:rsidP="00C26A15">
      <w:pPr>
        <w:autoSpaceDE w:val="0"/>
        <w:autoSpaceDN w:val="0"/>
        <w:adjustRightInd w:val="0"/>
        <w:spacing w:after="0" w:line="240" w:lineRule="auto"/>
        <w:jc w:val="both"/>
        <w:rPr>
          <w:rFonts w:ascii="Garamond" w:hAnsi="Garamond" w:cs="TimesNewRomanPSMT"/>
          <w:sz w:val="24"/>
          <w:szCs w:val="24"/>
        </w:rPr>
      </w:pPr>
    </w:p>
    <w:p w:rsidR="008046F4" w:rsidRDefault="008046F4" w:rsidP="00C26A15">
      <w:pPr>
        <w:autoSpaceDE w:val="0"/>
        <w:autoSpaceDN w:val="0"/>
        <w:adjustRightInd w:val="0"/>
        <w:spacing w:after="0" w:line="240" w:lineRule="auto"/>
        <w:jc w:val="both"/>
        <w:rPr>
          <w:rFonts w:ascii="Garamond" w:hAnsi="Garamond" w:cs="TimesNewRomanPSMT"/>
          <w:sz w:val="24"/>
          <w:szCs w:val="24"/>
        </w:rPr>
      </w:pPr>
      <w:r>
        <w:rPr>
          <w:rFonts w:ascii="Garamond" w:hAnsi="Garamond" w:cs="TimesNewRomanPSMT"/>
          <w:sz w:val="24"/>
          <w:szCs w:val="24"/>
        </w:rPr>
        <w:t>A d</w:t>
      </w:r>
      <w:r w:rsidRPr="00960405">
        <w:rPr>
          <w:rFonts w:ascii="Garamond" w:hAnsi="Garamond" w:cs="TimesNewRomanPSMT"/>
          <w:sz w:val="24"/>
          <w:szCs w:val="24"/>
        </w:rPr>
        <w:t xml:space="preserve">ecade </w:t>
      </w:r>
      <w:r>
        <w:rPr>
          <w:rFonts w:ascii="Garamond" w:hAnsi="Garamond" w:cs="TimesNewRomanPSMT"/>
          <w:sz w:val="24"/>
          <w:szCs w:val="24"/>
        </w:rPr>
        <w:t xml:space="preserve">long </w:t>
      </w:r>
      <w:r w:rsidRPr="00960405">
        <w:rPr>
          <w:rFonts w:ascii="Garamond" w:hAnsi="Garamond" w:cs="TimesNewRomanPSMT"/>
          <w:sz w:val="24"/>
          <w:szCs w:val="24"/>
        </w:rPr>
        <w:t xml:space="preserve">experience in the implementation of MDGs shows that there are several government </w:t>
      </w:r>
      <w:r>
        <w:rPr>
          <w:rFonts w:ascii="Garamond" w:hAnsi="Garamond" w:cs="TimesNewRomanPSMT"/>
          <w:sz w:val="24"/>
          <w:szCs w:val="24"/>
        </w:rPr>
        <w:t xml:space="preserve">machineries </w:t>
      </w:r>
      <w:r w:rsidRPr="00960405">
        <w:rPr>
          <w:rFonts w:ascii="Garamond" w:hAnsi="Garamond" w:cs="TimesNewRomanPSMT"/>
          <w:sz w:val="24"/>
          <w:szCs w:val="24"/>
        </w:rPr>
        <w:t xml:space="preserve">that are involved in formulating and implementing </w:t>
      </w:r>
      <w:r>
        <w:rPr>
          <w:rFonts w:ascii="Garamond" w:hAnsi="Garamond" w:cs="TimesNewRomanPSMT"/>
          <w:sz w:val="24"/>
          <w:szCs w:val="24"/>
        </w:rPr>
        <w:t>policies, strategies and plans</w:t>
      </w:r>
      <w:r w:rsidRPr="00960405">
        <w:rPr>
          <w:rFonts w:ascii="Garamond" w:hAnsi="Garamond" w:cs="TimesNewRomanPSMT"/>
          <w:sz w:val="24"/>
          <w:szCs w:val="24"/>
        </w:rPr>
        <w:t xml:space="preserve">. </w:t>
      </w:r>
      <w:r>
        <w:rPr>
          <w:rFonts w:ascii="Garamond" w:hAnsi="Garamond" w:cs="TimesNewRomanPSMT"/>
          <w:sz w:val="24"/>
          <w:szCs w:val="24"/>
        </w:rPr>
        <w:t xml:space="preserve">Core institutions have been put in place to design sectoral policies and strategies and oversee their implementation. For instance, the Ministry of water, irrigation and Energy is in charge of water and energy issues, while the Ministry of Environment, Forestry and Climate Change (MEFCC) is for environment, forest and climate change related issues. In addition, MEFCC is the national institution providing technical backstopping for coordinating the CRGE strategy, while the Ministry of Finance and Economic Cooperation (MoFEC) for managing the CRGE fund. </w:t>
      </w:r>
    </w:p>
    <w:p w:rsidR="008046F4" w:rsidRDefault="008046F4" w:rsidP="00C26A15">
      <w:pPr>
        <w:autoSpaceDE w:val="0"/>
        <w:autoSpaceDN w:val="0"/>
        <w:adjustRightInd w:val="0"/>
        <w:spacing w:after="0" w:line="240" w:lineRule="auto"/>
      </w:pPr>
    </w:p>
    <w:p w:rsidR="008046F4" w:rsidRDefault="008046F4" w:rsidP="00C26A15">
      <w:pPr>
        <w:autoSpaceDE w:val="0"/>
        <w:autoSpaceDN w:val="0"/>
        <w:adjustRightInd w:val="0"/>
        <w:spacing w:after="0" w:line="240" w:lineRule="auto"/>
        <w:jc w:val="both"/>
        <w:rPr>
          <w:rFonts w:ascii="Garamond" w:hAnsi="Garamond" w:cs="MyriadPro-Regular"/>
          <w:sz w:val="24"/>
          <w:szCs w:val="24"/>
        </w:rPr>
      </w:pPr>
      <w:r>
        <w:rPr>
          <w:rFonts w:ascii="Garamond" w:hAnsi="Garamond" w:cs="MyriadPro-Regular"/>
          <w:sz w:val="24"/>
          <w:szCs w:val="24"/>
        </w:rPr>
        <w:t>The National Planning Commission (NPC), established in 2013, guides and coordinates the national development planning and</w:t>
      </w:r>
      <w:r w:rsidRPr="00094385">
        <w:rPr>
          <w:rFonts w:ascii="Garamond" w:hAnsi="Garamond" w:cs="MyriadPro-Regular"/>
          <w:sz w:val="24"/>
          <w:szCs w:val="24"/>
        </w:rPr>
        <w:t xml:space="preserve"> prepare</w:t>
      </w:r>
      <w:r>
        <w:rPr>
          <w:rFonts w:ascii="Garamond" w:hAnsi="Garamond" w:cs="MyriadPro-Regular"/>
          <w:sz w:val="24"/>
          <w:szCs w:val="24"/>
        </w:rPr>
        <w:t>s medium-term (</w:t>
      </w:r>
      <w:r w:rsidRPr="00094385">
        <w:rPr>
          <w:rFonts w:ascii="Garamond" w:hAnsi="Garamond" w:cs="MyriadPro-Regular"/>
          <w:sz w:val="24"/>
          <w:szCs w:val="24"/>
        </w:rPr>
        <w:t>five-year</w:t>
      </w:r>
      <w:r>
        <w:rPr>
          <w:rFonts w:ascii="Garamond" w:hAnsi="Garamond" w:cs="MyriadPro-Regular"/>
          <w:sz w:val="24"/>
          <w:szCs w:val="24"/>
        </w:rPr>
        <w:t>)</w:t>
      </w:r>
      <w:r w:rsidRPr="00094385">
        <w:rPr>
          <w:rFonts w:ascii="Garamond" w:hAnsi="Garamond" w:cs="MyriadPro-Regular"/>
          <w:sz w:val="24"/>
          <w:szCs w:val="24"/>
        </w:rPr>
        <w:t xml:space="preserve"> development plans as a means to achieve a long-term vision</w:t>
      </w:r>
      <w:r>
        <w:rPr>
          <w:rFonts w:ascii="Garamond" w:hAnsi="Garamond" w:cs="MyriadPro-Regular"/>
          <w:sz w:val="24"/>
          <w:szCs w:val="24"/>
        </w:rPr>
        <w:t xml:space="preserve"> of the country</w:t>
      </w:r>
      <w:r w:rsidRPr="00094385">
        <w:rPr>
          <w:rFonts w:ascii="Garamond" w:hAnsi="Garamond" w:cs="MyriadPro-Regular"/>
          <w:sz w:val="24"/>
          <w:szCs w:val="24"/>
        </w:rPr>
        <w:t>. These</w:t>
      </w:r>
      <w:r>
        <w:rPr>
          <w:rFonts w:ascii="Garamond" w:hAnsi="Garamond" w:cs="MyriadPro-Regular"/>
          <w:sz w:val="24"/>
          <w:szCs w:val="24"/>
        </w:rPr>
        <w:t xml:space="preserve"> medium-term</w:t>
      </w:r>
      <w:r w:rsidRPr="00094385">
        <w:rPr>
          <w:rFonts w:ascii="Garamond" w:hAnsi="Garamond" w:cs="MyriadPro-Regular"/>
          <w:sz w:val="24"/>
          <w:szCs w:val="24"/>
        </w:rPr>
        <w:t xml:space="preserve"> plans articulate government’s economic, social and environmental priorities, and in turn influence the areas of cooperation and support provided by government partners including donors, intergovernment</w:t>
      </w:r>
      <w:r>
        <w:rPr>
          <w:rFonts w:ascii="Garamond" w:hAnsi="Garamond" w:cs="MyriadPro-Regular"/>
          <w:sz w:val="24"/>
          <w:szCs w:val="24"/>
        </w:rPr>
        <w:t>al</w:t>
      </w:r>
      <w:r w:rsidRPr="00094385">
        <w:rPr>
          <w:rFonts w:ascii="Garamond" w:hAnsi="Garamond" w:cs="MyriadPro-Regular"/>
          <w:sz w:val="24"/>
          <w:szCs w:val="24"/>
        </w:rPr>
        <w:t xml:space="preserve"> institutions, UN organizations, the private sector and civil society.</w:t>
      </w:r>
    </w:p>
    <w:p w:rsidR="008046F4" w:rsidRDefault="008046F4" w:rsidP="00C26A15">
      <w:pPr>
        <w:autoSpaceDE w:val="0"/>
        <w:autoSpaceDN w:val="0"/>
        <w:adjustRightInd w:val="0"/>
        <w:spacing w:after="0" w:line="240" w:lineRule="auto"/>
        <w:jc w:val="both"/>
        <w:rPr>
          <w:rFonts w:ascii="Garamond" w:hAnsi="Garamond" w:cs="MyriadPro-Regular"/>
          <w:sz w:val="24"/>
          <w:szCs w:val="24"/>
        </w:rPr>
      </w:pPr>
    </w:p>
    <w:p w:rsidR="008046F4" w:rsidRDefault="008046F4" w:rsidP="00C26A15">
      <w:pPr>
        <w:autoSpaceDE w:val="0"/>
        <w:autoSpaceDN w:val="0"/>
        <w:adjustRightInd w:val="0"/>
        <w:spacing w:after="0" w:line="240" w:lineRule="auto"/>
        <w:jc w:val="both"/>
        <w:rPr>
          <w:rFonts w:ascii="Garamond" w:hAnsi="Garamond" w:cs="MyriadPro-Regular"/>
          <w:sz w:val="24"/>
          <w:szCs w:val="24"/>
        </w:rPr>
      </w:pPr>
      <w:r>
        <w:rPr>
          <w:rFonts w:ascii="Garamond" w:hAnsi="Garamond" w:cs="MyriadPro-Regular"/>
          <w:sz w:val="24"/>
          <w:szCs w:val="24"/>
        </w:rPr>
        <w:t xml:space="preserve">The </w:t>
      </w:r>
      <w:r w:rsidRPr="00E45629">
        <w:rPr>
          <w:rFonts w:ascii="Garamond" w:hAnsi="Garamond" w:cs="MyriadPro-Regular"/>
          <w:sz w:val="24"/>
          <w:szCs w:val="24"/>
        </w:rPr>
        <w:t xml:space="preserve">National </w:t>
      </w:r>
      <w:r>
        <w:rPr>
          <w:rFonts w:ascii="Garamond" w:hAnsi="Garamond" w:cs="MyriadPro-Regular"/>
          <w:sz w:val="24"/>
          <w:szCs w:val="24"/>
        </w:rPr>
        <w:t xml:space="preserve">Planning Commission (NPC) of Ethiopia </w:t>
      </w:r>
      <w:r w:rsidRPr="00E45629">
        <w:rPr>
          <w:rFonts w:ascii="Garamond" w:hAnsi="Garamond" w:cs="MyriadPro-Regular"/>
          <w:sz w:val="24"/>
          <w:szCs w:val="24"/>
        </w:rPr>
        <w:t>combine</w:t>
      </w:r>
      <w:r>
        <w:rPr>
          <w:rFonts w:ascii="Garamond" w:hAnsi="Garamond" w:cs="MyriadPro-Regular"/>
          <w:sz w:val="24"/>
          <w:szCs w:val="24"/>
        </w:rPr>
        <w:t>s</w:t>
      </w:r>
      <w:r w:rsidRPr="00E45629">
        <w:rPr>
          <w:rFonts w:ascii="Garamond" w:hAnsi="Garamond" w:cs="MyriadPro-Regular"/>
          <w:sz w:val="24"/>
          <w:szCs w:val="24"/>
        </w:rPr>
        <w:t xml:space="preserve"> both top-down and bottom-up</w:t>
      </w:r>
      <w:r>
        <w:rPr>
          <w:rFonts w:ascii="Garamond" w:hAnsi="Garamond" w:cs="MyriadPro-Regular"/>
          <w:sz w:val="24"/>
          <w:szCs w:val="24"/>
        </w:rPr>
        <w:t xml:space="preserve"> </w:t>
      </w:r>
      <w:r w:rsidRPr="00E45629">
        <w:rPr>
          <w:rFonts w:ascii="Garamond" w:hAnsi="Garamond" w:cs="MyriadPro-Regular"/>
          <w:sz w:val="24"/>
          <w:szCs w:val="24"/>
        </w:rPr>
        <w:t xml:space="preserve">planning processes. </w:t>
      </w:r>
      <w:r>
        <w:rPr>
          <w:rFonts w:ascii="Garamond" w:hAnsi="Garamond" w:cs="MyriadPro-Regular"/>
          <w:sz w:val="24"/>
          <w:szCs w:val="24"/>
        </w:rPr>
        <w:t xml:space="preserve">First, NPC prepares a macroeconomic framework which indicates the key policy </w:t>
      </w:r>
      <w:r>
        <w:rPr>
          <w:rFonts w:ascii="Garamond" w:hAnsi="Garamond" w:cs="MyriadPro-Regular"/>
          <w:sz w:val="24"/>
          <w:szCs w:val="24"/>
        </w:rPr>
        <w:lastRenderedPageBreak/>
        <w:t xml:space="preserve">directions of the country during the plan period. This framework needs to get endorsed by the Council of Ministers which will serve as the basis for national development plan preparation. The approved framework is then communicated to sectoral ministries to guide their sectoral plan preparation. </w:t>
      </w:r>
    </w:p>
    <w:p w:rsidR="008046F4" w:rsidRPr="00BB50A7" w:rsidRDefault="008046F4" w:rsidP="00C26A15">
      <w:pPr>
        <w:autoSpaceDE w:val="0"/>
        <w:autoSpaceDN w:val="0"/>
        <w:adjustRightInd w:val="0"/>
        <w:spacing w:after="0" w:line="240" w:lineRule="auto"/>
        <w:contextualSpacing/>
        <w:rPr>
          <w:rFonts w:ascii="Garamond" w:hAnsi="Garamond" w:cs="MyriadPro-Regular"/>
          <w:sz w:val="24"/>
          <w:szCs w:val="24"/>
        </w:rPr>
      </w:pPr>
      <w:r w:rsidRPr="00BB50A7">
        <w:rPr>
          <w:rFonts w:ascii="Garamond" w:hAnsi="Garamond" w:cs="MyriadPro-Regular"/>
          <w:sz w:val="24"/>
          <w:szCs w:val="24"/>
        </w:rPr>
        <w:t xml:space="preserve">National development plans are normally established through a cyclic process led by the National Planning Commission and </w:t>
      </w:r>
      <w:r>
        <w:rPr>
          <w:rFonts w:ascii="Garamond" w:hAnsi="Garamond" w:cs="MyriadPro-Regular"/>
          <w:sz w:val="24"/>
          <w:szCs w:val="24"/>
        </w:rPr>
        <w:t xml:space="preserve">involve </w:t>
      </w:r>
      <w:r w:rsidRPr="00BB50A7">
        <w:rPr>
          <w:rFonts w:ascii="Garamond" w:hAnsi="Garamond" w:cs="MyriadPro-Regular"/>
          <w:sz w:val="24"/>
          <w:szCs w:val="24"/>
        </w:rPr>
        <w:t>the following steps:</w:t>
      </w:r>
    </w:p>
    <w:p w:rsidR="008046F4" w:rsidRPr="00BB50A7" w:rsidRDefault="008046F4" w:rsidP="00F82810">
      <w:pPr>
        <w:pStyle w:val="ListParagraph"/>
        <w:numPr>
          <w:ilvl w:val="0"/>
          <w:numId w:val="8"/>
        </w:numPr>
        <w:autoSpaceDE w:val="0"/>
        <w:autoSpaceDN w:val="0"/>
        <w:adjustRightInd w:val="0"/>
        <w:spacing w:after="0" w:line="240" w:lineRule="auto"/>
        <w:rPr>
          <w:rFonts w:ascii="Garamond" w:hAnsi="Garamond" w:cs="MyriadPro-Regular"/>
          <w:sz w:val="24"/>
          <w:szCs w:val="24"/>
        </w:rPr>
      </w:pPr>
      <w:r w:rsidRPr="00BB50A7">
        <w:rPr>
          <w:rFonts w:ascii="Garamond" w:hAnsi="Garamond" w:cs="MyriadPro-Regular"/>
          <w:sz w:val="24"/>
          <w:szCs w:val="24"/>
        </w:rPr>
        <w:t>Performance review of latest five-year plan</w:t>
      </w:r>
      <w:r w:rsidR="008F6ED2">
        <w:rPr>
          <w:rFonts w:ascii="Garamond" w:hAnsi="Garamond" w:cs="MyriadPro-Regular"/>
          <w:sz w:val="24"/>
          <w:szCs w:val="24"/>
        </w:rPr>
        <w:t>s</w:t>
      </w:r>
      <w:r w:rsidRPr="00BB50A7">
        <w:rPr>
          <w:rFonts w:ascii="Garamond" w:hAnsi="Garamond" w:cs="MyriadPro-Regular"/>
          <w:sz w:val="24"/>
          <w:szCs w:val="24"/>
        </w:rPr>
        <w:t xml:space="preserve"> against targets</w:t>
      </w:r>
      <w:r>
        <w:rPr>
          <w:rFonts w:ascii="Garamond" w:hAnsi="Garamond" w:cs="MyriadPro-Regular"/>
          <w:sz w:val="24"/>
          <w:szCs w:val="24"/>
        </w:rPr>
        <w:t>,</w:t>
      </w:r>
    </w:p>
    <w:p w:rsidR="008046F4" w:rsidRPr="00BB50A7" w:rsidRDefault="008046F4" w:rsidP="00F82810">
      <w:pPr>
        <w:pStyle w:val="ListParagraph"/>
        <w:numPr>
          <w:ilvl w:val="0"/>
          <w:numId w:val="8"/>
        </w:numPr>
        <w:autoSpaceDE w:val="0"/>
        <w:autoSpaceDN w:val="0"/>
        <w:adjustRightInd w:val="0"/>
        <w:spacing w:after="0" w:line="240" w:lineRule="auto"/>
        <w:rPr>
          <w:rFonts w:ascii="Garamond" w:hAnsi="Garamond" w:cs="MyriadPro-Regular"/>
          <w:sz w:val="24"/>
          <w:szCs w:val="24"/>
        </w:rPr>
      </w:pPr>
      <w:r w:rsidRPr="00BB50A7">
        <w:rPr>
          <w:rFonts w:ascii="Garamond" w:hAnsi="Garamond" w:cs="MyriadPro-Regular"/>
          <w:sz w:val="24"/>
          <w:szCs w:val="24"/>
        </w:rPr>
        <w:t>Elaboration of next five-year plan (e.g. macroeconomic framework)</w:t>
      </w:r>
      <w:r>
        <w:rPr>
          <w:rFonts w:ascii="Garamond" w:hAnsi="Garamond" w:cs="MyriadPro-Regular"/>
          <w:sz w:val="24"/>
          <w:szCs w:val="24"/>
        </w:rPr>
        <w:t>,</w:t>
      </w:r>
    </w:p>
    <w:p w:rsidR="008046F4" w:rsidRPr="00BB50A7" w:rsidRDefault="008046F4" w:rsidP="00F82810">
      <w:pPr>
        <w:pStyle w:val="ListParagraph"/>
        <w:numPr>
          <w:ilvl w:val="0"/>
          <w:numId w:val="8"/>
        </w:numPr>
        <w:autoSpaceDE w:val="0"/>
        <w:autoSpaceDN w:val="0"/>
        <w:adjustRightInd w:val="0"/>
        <w:spacing w:after="0" w:line="240" w:lineRule="auto"/>
        <w:rPr>
          <w:rFonts w:ascii="Garamond" w:hAnsi="Garamond" w:cs="MyriadPro-Regular"/>
          <w:sz w:val="24"/>
          <w:szCs w:val="24"/>
        </w:rPr>
      </w:pPr>
      <w:r w:rsidRPr="00BB50A7">
        <w:rPr>
          <w:rFonts w:ascii="Garamond" w:hAnsi="Garamond" w:cs="MyriadPro-Regular"/>
          <w:sz w:val="24"/>
          <w:szCs w:val="24"/>
        </w:rPr>
        <w:t xml:space="preserve">Preparation of </w:t>
      </w:r>
      <w:r>
        <w:rPr>
          <w:rFonts w:ascii="Garamond" w:hAnsi="Garamond" w:cs="MyriadPro-Regular"/>
          <w:sz w:val="24"/>
          <w:szCs w:val="24"/>
        </w:rPr>
        <w:t>s</w:t>
      </w:r>
      <w:r w:rsidRPr="00BB50A7">
        <w:rPr>
          <w:rFonts w:ascii="Garamond" w:hAnsi="Garamond" w:cs="MyriadPro-Regular"/>
          <w:sz w:val="24"/>
          <w:szCs w:val="24"/>
        </w:rPr>
        <w:t>ectoral plans (prepared by Sectoral Ministries)</w:t>
      </w:r>
      <w:r>
        <w:rPr>
          <w:rFonts w:ascii="Garamond" w:hAnsi="Garamond" w:cs="MyriadPro-Regular"/>
          <w:sz w:val="24"/>
          <w:szCs w:val="24"/>
        </w:rPr>
        <w:t>,</w:t>
      </w:r>
    </w:p>
    <w:p w:rsidR="008046F4" w:rsidRPr="00BB50A7" w:rsidRDefault="008046F4" w:rsidP="00F82810">
      <w:pPr>
        <w:pStyle w:val="ListParagraph"/>
        <w:numPr>
          <w:ilvl w:val="0"/>
          <w:numId w:val="8"/>
        </w:numPr>
        <w:autoSpaceDE w:val="0"/>
        <w:autoSpaceDN w:val="0"/>
        <w:adjustRightInd w:val="0"/>
        <w:spacing w:after="0" w:line="240" w:lineRule="auto"/>
        <w:rPr>
          <w:rFonts w:ascii="Garamond" w:hAnsi="Garamond" w:cs="MyriadPro-Regular"/>
          <w:sz w:val="24"/>
          <w:szCs w:val="24"/>
        </w:rPr>
      </w:pPr>
      <w:r w:rsidRPr="00BB50A7">
        <w:rPr>
          <w:rFonts w:ascii="Garamond" w:hAnsi="Garamond" w:cs="MyriadPro-Regular"/>
          <w:sz w:val="24"/>
          <w:szCs w:val="24"/>
        </w:rPr>
        <w:t>Development of national development plan (based on sectoral plans)</w:t>
      </w:r>
      <w:r>
        <w:rPr>
          <w:rFonts w:ascii="Garamond" w:hAnsi="Garamond" w:cs="MyriadPro-Regular"/>
          <w:sz w:val="24"/>
          <w:szCs w:val="24"/>
        </w:rPr>
        <w:t>,</w:t>
      </w:r>
      <w:r w:rsidRPr="00BB50A7">
        <w:rPr>
          <w:rFonts w:ascii="Garamond" w:hAnsi="Garamond" w:cs="MyriadPro-Regular"/>
          <w:sz w:val="24"/>
          <w:szCs w:val="24"/>
        </w:rPr>
        <w:t xml:space="preserve"> </w:t>
      </w:r>
    </w:p>
    <w:p w:rsidR="008046F4" w:rsidRPr="00BB50A7" w:rsidRDefault="008046F4" w:rsidP="00F82810">
      <w:pPr>
        <w:pStyle w:val="ListParagraph"/>
        <w:numPr>
          <w:ilvl w:val="0"/>
          <w:numId w:val="8"/>
        </w:numPr>
        <w:autoSpaceDE w:val="0"/>
        <w:autoSpaceDN w:val="0"/>
        <w:adjustRightInd w:val="0"/>
        <w:spacing w:after="0" w:line="240" w:lineRule="auto"/>
        <w:rPr>
          <w:rFonts w:ascii="Garamond" w:hAnsi="Garamond" w:cs="MyriadPro-Regular"/>
          <w:sz w:val="24"/>
          <w:szCs w:val="24"/>
        </w:rPr>
      </w:pPr>
      <w:r w:rsidRPr="00BB50A7">
        <w:rPr>
          <w:rFonts w:ascii="Garamond" w:hAnsi="Garamond" w:cs="MyriadPro-Regular"/>
          <w:sz w:val="24"/>
          <w:szCs w:val="24"/>
        </w:rPr>
        <w:t>Stakeholder consultation</w:t>
      </w:r>
      <w:r>
        <w:rPr>
          <w:rFonts w:ascii="Garamond" w:hAnsi="Garamond" w:cs="MyriadPro-Regular"/>
          <w:sz w:val="24"/>
          <w:szCs w:val="24"/>
        </w:rPr>
        <w:t>,</w:t>
      </w:r>
      <w:r w:rsidRPr="00BB50A7">
        <w:rPr>
          <w:rFonts w:ascii="Garamond" w:hAnsi="Garamond" w:cs="MyriadPro-Regular"/>
          <w:sz w:val="24"/>
          <w:szCs w:val="24"/>
        </w:rPr>
        <w:t xml:space="preserve"> </w:t>
      </w:r>
    </w:p>
    <w:p w:rsidR="008046F4" w:rsidRPr="00BB50A7" w:rsidRDefault="008046F4" w:rsidP="00F82810">
      <w:pPr>
        <w:pStyle w:val="ListParagraph"/>
        <w:numPr>
          <w:ilvl w:val="0"/>
          <w:numId w:val="8"/>
        </w:numPr>
        <w:autoSpaceDE w:val="0"/>
        <w:autoSpaceDN w:val="0"/>
        <w:adjustRightInd w:val="0"/>
        <w:spacing w:after="0" w:line="240" w:lineRule="auto"/>
        <w:rPr>
          <w:rFonts w:ascii="Garamond" w:hAnsi="Garamond" w:cs="MyriadPro-Regular"/>
          <w:sz w:val="24"/>
          <w:szCs w:val="24"/>
        </w:rPr>
      </w:pPr>
      <w:r>
        <w:rPr>
          <w:rFonts w:ascii="Garamond" w:hAnsi="Garamond" w:cs="MyriadPro-Regular"/>
          <w:sz w:val="24"/>
          <w:szCs w:val="24"/>
        </w:rPr>
        <w:t>Revision and p</w:t>
      </w:r>
      <w:r w:rsidRPr="00BB50A7">
        <w:rPr>
          <w:rFonts w:ascii="Garamond" w:hAnsi="Garamond" w:cs="MyriadPro-Regular"/>
          <w:sz w:val="24"/>
          <w:szCs w:val="24"/>
        </w:rPr>
        <w:t>reparation of final national development plan</w:t>
      </w:r>
      <w:r>
        <w:rPr>
          <w:rFonts w:ascii="Garamond" w:hAnsi="Garamond" w:cs="MyriadPro-Regular"/>
          <w:sz w:val="24"/>
          <w:szCs w:val="24"/>
        </w:rPr>
        <w:t xml:space="preserve">, and </w:t>
      </w:r>
      <w:r w:rsidRPr="00BB50A7">
        <w:rPr>
          <w:rFonts w:ascii="Garamond" w:hAnsi="Garamond" w:cs="MyriadPro-Regular"/>
          <w:sz w:val="24"/>
          <w:szCs w:val="24"/>
        </w:rPr>
        <w:t xml:space="preserve"> </w:t>
      </w:r>
    </w:p>
    <w:p w:rsidR="008046F4" w:rsidRPr="00BB50A7" w:rsidRDefault="008046F4" w:rsidP="00F82810">
      <w:pPr>
        <w:pStyle w:val="ListParagraph"/>
        <w:numPr>
          <w:ilvl w:val="0"/>
          <w:numId w:val="8"/>
        </w:numPr>
        <w:autoSpaceDE w:val="0"/>
        <w:autoSpaceDN w:val="0"/>
        <w:adjustRightInd w:val="0"/>
        <w:spacing w:after="0" w:line="240" w:lineRule="auto"/>
        <w:rPr>
          <w:rFonts w:ascii="Garamond" w:hAnsi="Garamond" w:cs="MyriadPro-Regular"/>
          <w:sz w:val="24"/>
          <w:szCs w:val="24"/>
        </w:rPr>
      </w:pPr>
      <w:r>
        <w:rPr>
          <w:rFonts w:ascii="Garamond" w:hAnsi="Garamond" w:cs="MyriadPro-Regular"/>
          <w:sz w:val="24"/>
          <w:szCs w:val="24"/>
        </w:rPr>
        <w:t xml:space="preserve">Approval by </w:t>
      </w:r>
      <w:r w:rsidRPr="00BB50A7">
        <w:rPr>
          <w:rFonts w:ascii="Garamond" w:hAnsi="Garamond" w:cs="MyriadPro-Regular"/>
          <w:sz w:val="24"/>
          <w:szCs w:val="24"/>
        </w:rPr>
        <w:t xml:space="preserve">Parliament </w:t>
      </w:r>
    </w:p>
    <w:p w:rsidR="008046F4" w:rsidRDefault="008046F4" w:rsidP="00C26A15">
      <w:pPr>
        <w:autoSpaceDE w:val="0"/>
        <w:autoSpaceDN w:val="0"/>
        <w:adjustRightInd w:val="0"/>
        <w:spacing w:after="0" w:line="240" w:lineRule="auto"/>
        <w:jc w:val="both"/>
        <w:rPr>
          <w:rFonts w:ascii="Garamond" w:hAnsi="Garamond" w:cs="MyriadPro-Regular"/>
          <w:sz w:val="24"/>
          <w:szCs w:val="24"/>
        </w:rPr>
      </w:pPr>
      <w:r w:rsidRPr="00696F20">
        <w:rPr>
          <w:rFonts w:ascii="Garamond" w:hAnsi="Garamond" w:cs="MyriadPro-Regular"/>
          <w:sz w:val="24"/>
          <w:szCs w:val="24"/>
        </w:rPr>
        <w:t xml:space="preserve">Once the medium-term plan is endorsed by the parliament, the NPC </w:t>
      </w:r>
      <w:r>
        <w:rPr>
          <w:rFonts w:ascii="Garamond" w:hAnsi="Garamond" w:cs="MyriadPro-Regular"/>
          <w:sz w:val="24"/>
          <w:szCs w:val="24"/>
        </w:rPr>
        <w:t xml:space="preserve">follows its implementation, </w:t>
      </w:r>
      <w:r w:rsidRPr="00696F20">
        <w:rPr>
          <w:rFonts w:ascii="Garamond" w:hAnsi="Garamond" w:cs="MyriadPro-Regular"/>
          <w:sz w:val="24"/>
          <w:szCs w:val="24"/>
        </w:rPr>
        <w:t xml:space="preserve">monitors and </w:t>
      </w:r>
      <w:r>
        <w:rPr>
          <w:rFonts w:ascii="Garamond" w:hAnsi="Garamond" w:cs="MyriadPro-Regular"/>
          <w:sz w:val="24"/>
          <w:szCs w:val="24"/>
        </w:rPr>
        <w:t xml:space="preserve">evaluates </w:t>
      </w:r>
      <w:r w:rsidRPr="00696F20">
        <w:rPr>
          <w:rFonts w:ascii="Garamond" w:hAnsi="Garamond" w:cs="MyriadPro-Regular"/>
          <w:sz w:val="24"/>
          <w:szCs w:val="24"/>
        </w:rPr>
        <w:t xml:space="preserve">progress towards targets, and prepares </w:t>
      </w:r>
      <w:r>
        <w:rPr>
          <w:rFonts w:ascii="Garamond" w:hAnsi="Garamond" w:cs="MyriadPro-Regular"/>
          <w:sz w:val="24"/>
          <w:szCs w:val="24"/>
        </w:rPr>
        <w:t xml:space="preserve">annual </w:t>
      </w:r>
      <w:r w:rsidRPr="00696F20">
        <w:rPr>
          <w:rFonts w:ascii="Garamond" w:hAnsi="Garamond" w:cs="MyriadPro-Regular"/>
          <w:sz w:val="24"/>
          <w:szCs w:val="24"/>
        </w:rPr>
        <w:t>progress report</w:t>
      </w:r>
      <w:r>
        <w:rPr>
          <w:rFonts w:ascii="Garamond" w:hAnsi="Garamond" w:cs="MyriadPro-Regular"/>
          <w:sz w:val="24"/>
          <w:szCs w:val="24"/>
        </w:rPr>
        <w:t xml:space="preserve">s. Ethiopia has already established the necessary institutions in line with the SD. </w:t>
      </w:r>
    </w:p>
    <w:p w:rsidR="008B5DB8" w:rsidRPr="00B95E60" w:rsidRDefault="008B5DB8" w:rsidP="008B5DB8">
      <w:pPr>
        <w:autoSpaceDE w:val="0"/>
        <w:autoSpaceDN w:val="0"/>
        <w:adjustRightInd w:val="0"/>
        <w:spacing w:after="0" w:line="240" w:lineRule="auto"/>
        <w:jc w:val="both"/>
        <w:rPr>
          <w:rFonts w:ascii="Garamond" w:hAnsi="Garamond" w:cs="MyriadPro-Cond"/>
          <w:color w:val="045DAA"/>
          <w:sz w:val="24"/>
          <w:szCs w:val="24"/>
        </w:rPr>
      </w:pPr>
      <w:bookmarkStart w:id="43" w:name="_Toc486585942"/>
      <w:r w:rsidRPr="00B95E60">
        <w:rPr>
          <w:rFonts w:ascii="Garamond" w:hAnsi="Garamond" w:cs="MyriadPro-Cond"/>
          <w:color w:val="045DAA"/>
          <w:sz w:val="24"/>
          <w:szCs w:val="24"/>
        </w:rPr>
        <w:t>Figure</w:t>
      </w:r>
      <w:r w:rsidRPr="00B95E60">
        <w:rPr>
          <w:rFonts w:ascii="Garamond" w:hAnsi="Garamond"/>
          <w:sz w:val="24"/>
          <w:szCs w:val="24"/>
        </w:rPr>
        <w:t xml:space="preserve"> </w:t>
      </w:r>
      <w:r w:rsidR="00BF3BBC" w:rsidRPr="00B95E60">
        <w:rPr>
          <w:rFonts w:ascii="Garamond" w:hAnsi="Garamond"/>
          <w:sz w:val="24"/>
          <w:szCs w:val="24"/>
        </w:rPr>
        <w:fldChar w:fldCharType="begin"/>
      </w:r>
      <w:r w:rsidRPr="00B95E60">
        <w:rPr>
          <w:rFonts w:ascii="Garamond" w:hAnsi="Garamond"/>
          <w:sz w:val="24"/>
          <w:szCs w:val="24"/>
        </w:rPr>
        <w:instrText xml:space="preserve"> SEQ Figure \* ARABIC </w:instrText>
      </w:r>
      <w:r w:rsidR="00BF3BBC" w:rsidRPr="00B95E60">
        <w:rPr>
          <w:rFonts w:ascii="Garamond" w:hAnsi="Garamond"/>
          <w:sz w:val="24"/>
          <w:szCs w:val="24"/>
        </w:rPr>
        <w:fldChar w:fldCharType="separate"/>
      </w:r>
      <w:r w:rsidR="006C24A4">
        <w:rPr>
          <w:rFonts w:ascii="Garamond" w:hAnsi="Garamond"/>
          <w:noProof/>
          <w:sz w:val="24"/>
          <w:szCs w:val="24"/>
        </w:rPr>
        <w:t>7</w:t>
      </w:r>
      <w:r w:rsidR="00BF3BBC" w:rsidRPr="00B95E60">
        <w:rPr>
          <w:rFonts w:ascii="Garamond" w:hAnsi="Garamond"/>
          <w:sz w:val="24"/>
          <w:szCs w:val="24"/>
        </w:rPr>
        <w:fldChar w:fldCharType="end"/>
      </w:r>
      <w:r w:rsidRPr="00B95E60">
        <w:rPr>
          <w:rFonts w:ascii="Garamond" w:hAnsi="Garamond" w:cs="MyriadPro-Cond"/>
          <w:color w:val="045DAA"/>
          <w:sz w:val="24"/>
          <w:szCs w:val="24"/>
        </w:rPr>
        <w:t>: Institutional arrangement and planning processes in the preparation of medium term plan</w:t>
      </w:r>
      <w:bookmarkEnd w:id="43"/>
    </w:p>
    <w:p w:rsidR="008B5DB8" w:rsidRPr="009C37A3" w:rsidRDefault="008B5DB8" w:rsidP="008B5DB8">
      <w:pPr>
        <w:spacing w:after="0" w:line="240" w:lineRule="auto"/>
        <w:rPr>
          <w:lang w:val="en-GB" w:eastAsia="en-GB"/>
        </w:rPr>
      </w:pPr>
      <w:r w:rsidRPr="009C37A3">
        <w:rPr>
          <w:noProof/>
        </w:rPr>
        <w:drawing>
          <wp:inline distT="0" distB="0" distL="0" distR="0">
            <wp:extent cx="6134235" cy="3008671"/>
            <wp:effectExtent l="0" t="0" r="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6148536" cy="3015685"/>
                    </a:xfrm>
                    <a:prstGeom prst="rect">
                      <a:avLst/>
                    </a:prstGeom>
                  </pic:spPr>
                </pic:pic>
              </a:graphicData>
            </a:graphic>
          </wp:inline>
        </w:drawing>
      </w:r>
    </w:p>
    <w:p w:rsidR="008B5DB8" w:rsidRDefault="008B5DB8" w:rsidP="008B5DB8">
      <w:pPr>
        <w:spacing w:after="0" w:line="240" w:lineRule="auto"/>
        <w:rPr>
          <w:rFonts w:ascii="Garamond" w:hAnsi="Garamond"/>
          <w:lang w:val="en-GB" w:eastAsia="en-GB"/>
        </w:rPr>
      </w:pPr>
      <w:r w:rsidRPr="009C37A3">
        <w:rPr>
          <w:rFonts w:ascii="Garamond" w:hAnsi="Garamond"/>
          <w:lang w:val="en-GB" w:eastAsia="en-GB"/>
        </w:rPr>
        <w:t xml:space="preserve">Source: Own construction </w:t>
      </w:r>
    </w:p>
    <w:p w:rsidR="001D4C6C" w:rsidRDefault="001D4C6C" w:rsidP="008B5DB8">
      <w:pPr>
        <w:spacing w:after="0" w:line="240" w:lineRule="auto"/>
        <w:rPr>
          <w:rFonts w:ascii="Garamond" w:hAnsi="Garamond"/>
          <w:lang w:val="en-GB" w:eastAsia="en-GB"/>
        </w:rPr>
      </w:pPr>
    </w:p>
    <w:p w:rsidR="008B5DB8" w:rsidRDefault="008B5DB8" w:rsidP="00C26A15">
      <w:pPr>
        <w:autoSpaceDE w:val="0"/>
        <w:autoSpaceDN w:val="0"/>
        <w:adjustRightInd w:val="0"/>
        <w:spacing w:after="0" w:line="240" w:lineRule="auto"/>
        <w:jc w:val="both"/>
        <w:rPr>
          <w:rFonts w:ascii="Garamond" w:hAnsi="Garamond" w:cs="MyriadPro-Regular"/>
          <w:sz w:val="24"/>
          <w:szCs w:val="24"/>
        </w:rPr>
      </w:pPr>
    </w:p>
    <w:p w:rsidR="008046F4" w:rsidRPr="00FD0262" w:rsidRDefault="003D4C4D" w:rsidP="00C26A15">
      <w:pPr>
        <w:pStyle w:val="Heading2"/>
        <w:spacing w:before="0" w:line="240" w:lineRule="auto"/>
        <w:rPr>
          <w:rFonts w:ascii="Garamond" w:hAnsi="Garamond"/>
          <w:b/>
          <w:sz w:val="24"/>
          <w:szCs w:val="24"/>
        </w:rPr>
      </w:pPr>
      <w:bookmarkStart w:id="44" w:name="_Toc486782266"/>
      <w:r w:rsidRPr="00FD0262">
        <w:rPr>
          <w:rFonts w:ascii="Garamond" w:hAnsi="Garamond"/>
          <w:b/>
          <w:sz w:val="24"/>
          <w:szCs w:val="24"/>
          <w:lang w:val="en-GB"/>
        </w:rPr>
        <w:t>4</w:t>
      </w:r>
      <w:r w:rsidR="008046F4" w:rsidRPr="00FD0262">
        <w:rPr>
          <w:rFonts w:ascii="Garamond" w:hAnsi="Garamond"/>
          <w:b/>
          <w:sz w:val="24"/>
          <w:szCs w:val="24"/>
          <w:lang w:val="en-GB"/>
        </w:rPr>
        <w:t>.2 Coordination and collaborative mechanisms</w:t>
      </w:r>
      <w:bookmarkEnd w:id="44"/>
    </w:p>
    <w:p w:rsidR="003D4C4D" w:rsidRDefault="003D4C4D" w:rsidP="00C26A15">
      <w:pPr>
        <w:pStyle w:val="Default"/>
        <w:jc w:val="both"/>
        <w:rPr>
          <w:rFonts w:ascii="Garamond" w:eastAsiaTheme="minorHAnsi" w:hAnsi="Garamond" w:cs="MyriadPro-Regular"/>
          <w:color w:val="auto"/>
        </w:rPr>
      </w:pPr>
    </w:p>
    <w:p w:rsidR="008046F4" w:rsidRPr="000910C4" w:rsidRDefault="008046F4" w:rsidP="00C26A15">
      <w:pPr>
        <w:pStyle w:val="Default"/>
        <w:jc w:val="both"/>
        <w:rPr>
          <w:rFonts w:ascii="Garamond" w:eastAsiaTheme="minorHAnsi" w:hAnsi="Garamond" w:cs="MyriadPro-Regular"/>
          <w:color w:val="auto"/>
        </w:rPr>
      </w:pPr>
      <w:r w:rsidRPr="000910C4">
        <w:rPr>
          <w:rFonts w:ascii="Garamond" w:eastAsiaTheme="minorHAnsi" w:hAnsi="Garamond" w:cs="MyriadPro-Regular"/>
          <w:color w:val="auto"/>
        </w:rPr>
        <w:t xml:space="preserve">The cross-sectoral nature of </w:t>
      </w:r>
      <w:r>
        <w:rPr>
          <w:rFonts w:ascii="Garamond" w:eastAsiaTheme="minorHAnsi" w:hAnsi="Garamond" w:cs="MyriadPro-Regular"/>
          <w:color w:val="auto"/>
        </w:rPr>
        <w:t xml:space="preserve">development plans (and </w:t>
      </w:r>
      <w:r w:rsidRPr="000910C4">
        <w:rPr>
          <w:rFonts w:ascii="Garamond" w:eastAsiaTheme="minorHAnsi" w:hAnsi="Garamond" w:cs="MyriadPro-Regular"/>
          <w:color w:val="auto"/>
        </w:rPr>
        <w:t>SDGs</w:t>
      </w:r>
      <w:r>
        <w:rPr>
          <w:rFonts w:ascii="Garamond" w:eastAsiaTheme="minorHAnsi" w:hAnsi="Garamond" w:cs="MyriadPro-Regular"/>
          <w:color w:val="auto"/>
        </w:rPr>
        <w:t>)</w:t>
      </w:r>
      <w:r w:rsidRPr="000910C4">
        <w:rPr>
          <w:rFonts w:ascii="Garamond" w:eastAsiaTheme="minorHAnsi" w:hAnsi="Garamond" w:cs="MyriadPro-Regular"/>
          <w:color w:val="auto"/>
        </w:rPr>
        <w:t xml:space="preserve"> calls for improved governance arrangements and practices </w:t>
      </w:r>
      <w:r>
        <w:rPr>
          <w:rFonts w:ascii="Garamond" w:eastAsiaTheme="minorHAnsi" w:hAnsi="Garamond" w:cs="MyriadPro-Regular"/>
          <w:color w:val="auto"/>
        </w:rPr>
        <w:t xml:space="preserve">to </w:t>
      </w:r>
      <w:r w:rsidRPr="000910C4">
        <w:rPr>
          <w:rFonts w:ascii="Garamond" w:eastAsiaTheme="minorHAnsi" w:hAnsi="Garamond" w:cs="MyriadPro-Regular"/>
          <w:color w:val="auto"/>
        </w:rPr>
        <w:t xml:space="preserve">ensure vertical and horizontal collaboration. Mainstreaming as well as implementation of </w:t>
      </w:r>
      <w:r>
        <w:rPr>
          <w:rFonts w:ascii="Garamond" w:eastAsiaTheme="minorHAnsi" w:hAnsi="Garamond" w:cs="MyriadPro-Regular"/>
          <w:color w:val="auto"/>
        </w:rPr>
        <w:t xml:space="preserve">development plans </w:t>
      </w:r>
      <w:r w:rsidRPr="000910C4">
        <w:rPr>
          <w:rFonts w:ascii="Garamond" w:eastAsiaTheme="minorHAnsi" w:hAnsi="Garamond" w:cs="MyriadPro-Regular"/>
          <w:color w:val="auto"/>
        </w:rPr>
        <w:t xml:space="preserve">necessitates strong horizontal collaboration between national coordination body and the different sectors of the economy (Urama </w:t>
      </w:r>
      <w:r w:rsidRPr="00EC4C58">
        <w:rPr>
          <w:rFonts w:ascii="Garamond" w:eastAsiaTheme="minorHAnsi" w:hAnsi="Garamond" w:cs="MyriadPro-Regular"/>
          <w:i/>
          <w:color w:val="auto"/>
        </w:rPr>
        <w:t>et al</w:t>
      </w:r>
      <w:r w:rsidRPr="000910C4">
        <w:rPr>
          <w:rFonts w:ascii="Garamond" w:eastAsiaTheme="minorHAnsi" w:hAnsi="Garamond" w:cs="MyriadPro-Regular"/>
          <w:color w:val="auto"/>
        </w:rPr>
        <w:t>., 2014). Likewise, vertical interactions also exist between the national coordinating organization and lower levels institutions including the regional states, provinces, districts, cities and communities.</w:t>
      </w:r>
    </w:p>
    <w:p w:rsidR="008046F4" w:rsidRDefault="008046F4" w:rsidP="00C26A15">
      <w:pPr>
        <w:autoSpaceDE w:val="0"/>
        <w:autoSpaceDN w:val="0"/>
        <w:adjustRightInd w:val="0"/>
        <w:spacing w:after="0" w:line="240" w:lineRule="auto"/>
        <w:jc w:val="both"/>
        <w:rPr>
          <w:rFonts w:ascii="Garamond" w:hAnsi="Garamond" w:cs="MyriadPro-Regular"/>
          <w:sz w:val="24"/>
          <w:szCs w:val="24"/>
        </w:rPr>
      </w:pPr>
    </w:p>
    <w:p w:rsidR="008046F4" w:rsidRDefault="008046F4" w:rsidP="00C26A15">
      <w:pPr>
        <w:autoSpaceDE w:val="0"/>
        <w:autoSpaceDN w:val="0"/>
        <w:adjustRightInd w:val="0"/>
        <w:spacing w:after="0" w:line="240" w:lineRule="auto"/>
        <w:jc w:val="both"/>
        <w:rPr>
          <w:rFonts w:ascii="Garamond" w:hAnsi="Garamond" w:cs="MyriadPro-Regular"/>
          <w:sz w:val="24"/>
          <w:szCs w:val="24"/>
        </w:rPr>
      </w:pPr>
      <w:r w:rsidRPr="003034BB">
        <w:rPr>
          <w:rFonts w:ascii="Garamond" w:hAnsi="Garamond" w:cs="MyriadPro-Regular"/>
          <w:sz w:val="24"/>
          <w:szCs w:val="24"/>
        </w:rPr>
        <w:lastRenderedPageBreak/>
        <w:t xml:space="preserve">Sustaining cross-sectoral and integrated engagement </w:t>
      </w:r>
      <w:r>
        <w:rPr>
          <w:rFonts w:ascii="Garamond" w:hAnsi="Garamond" w:cs="MyriadPro-Regular"/>
          <w:sz w:val="24"/>
          <w:szCs w:val="24"/>
        </w:rPr>
        <w:t xml:space="preserve">of different stakeholders </w:t>
      </w:r>
      <w:r w:rsidRPr="003034BB">
        <w:rPr>
          <w:rFonts w:ascii="Garamond" w:hAnsi="Garamond" w:cs="MyriadPro-Regular"/>
          <w:sz w:val="24"/>
          <w:szCs w:val="24"/>
        </w:rPr>
        <w:t xml:space="preserve">at the planning stage and during implementation of national development plans is critical in ensuring positive economic, social and environmental benefits. </w:t>
      </w:r>
      <w:r>
        <w:rPr>
          <w:rFonts w:ascii="Garamond" w:hAnsi="Garamond" w:cs="MyriadPro-Regular"/>
          <w:sz w:val="24"/>
          <w:szCs w:val="24"/>
        </w:rPr>
        <w:t xml:space="preserve">Although cross-sectoral coordination is achieved at the planning stage through NPC, it is not clear how the different sectors can be coordinated during implementation. The decade long experience in the implementation of MDGs indicates that achieving cross-sectoral coordination has been problematic as each sector ministries operate in silos. Breaking down sector silos at implementation stage is of paramount importance. </w:t>
      </w:r>
      <w:r w:rsidRPr="003034BB">
        <w:rPr>
          <w:rFonts w:ascii="Garamond" w:hAnsi="Garamond" w:cs="MyriadPro-Regular"/>
          <w:sz w:val="24"/>
          <w:szCs w:val="24"/>
        </w:rPr>
        <w:t xml:space="preserve">The </w:t>
      </w:r>
      <w:r>
        <w:rPr>
          <w:rFonts w:ascii="Garamond" w:hAnsi="Garamond" w:cs="MyriadPro-Regular"/>
          <w:sz w:val="24"/>
          <w:szCs w:val="24"/>
        </w:rPr>
        <w:t xml:space="preserve">National Planning Commission needs to be </w:t>
      </w:r>
      <w:r w:rsidRPr="003034BB">
        <w:rPr>
          <w:rFonts w:ascii="Garamond" w:hAnsi="Garamond" w:cs="MyriadPro-Regular"/>
          <w:sz w:val="24"/>
          <w:szCs w:val="24"/>
        </w:rPr>
        <w:t>supported in continuing the efforts of engaging with sectoral working</w:t>
      </w:r>
      <w:r>
        <w:rPr>
          <w:rFonts w:ascii="Garamond" w:hAnsi="Garamond" w:cs="MyriadPro-Regular"/>
          <w:sz w:val="24"/>
          <w:szCs w:val="24"/>
        </w:rPr>
        <w:t xml:space="preserve"> </w:t>
      </w:r>
      <w:r w:rsidRPr="003034BB">
        <w:rPr>
          <w:rFonts w:ascii="Garamond" w:hAnsi="Garamond" w:cs="MyriadPro-Regular"/>
          <w:sz w:val="24"/>
          <w:szCs w:val="24"/>
        </w:rPr>
        <w:t>groups to coordinate national development plan implementation across sectors at the national level, and through subnational administrations and their coordination focal points</w:t>
      </w:r>
      <w:r>
        <w:rPr>
          <w:rFonts w:ascii="Garamond" w:hAnsi="Garamond" w:cs="MyriadPro-Regular"/>
          <w:sz w:val="24"/>
          <w:szCs w:val="24"/>
        </w:rPr>
        <w:t xml:space="preserve"> or regional planning commissions</w:t>
      </w:r>
      <w:r w:rsidRPr="003034BB">
        <w:rPr>
          <w:rFonts w:ascii="Garamond" w:hAnsi="Garamond" w:cs="MyriadPro-Regular"/>
          <w:sz w:val="24"/>
          <w:szCs w:val="24"/>
        </w:rPr>
        <w:t>.</w:t>
      </w:r>
    </w:p>
    <w:p w:rsidR="003C0B34" w:rsidRDefault="003C0B34" w:rsidP="00C26A15">
      <w:pPr>
        <w:autoSpaceDE w:val="0"/>
        <w:autoSpaceDN w:val="0"/>
        <w:adjustRightInd w:val="0"/>
        <w:spacing w:after="0" w:line="240" w:lineRule="auto"/>
        <w:jc w:val="both"/>
        <w:rPr>
          <w:rFonts w:ascii="Garamond" w:hAnsi="Garamond" w:cs="MyriadPro-Regular"/>
          <w:sz w:val="24"/>
          <w:szCs w:val="24"/>
        </w:rPr>
      </w:pPr>
    </w:p>
    <w:p w:rsidR="003C0B34" w:rsidRDefault="003C0B34" w:rsidP="00C26A15">
      <w:pPr>
        <w:autoSpaceDE w:val="0"/>
        <w:autoSpaceDN w:val="0"/>
        <w:adjustRightInd w:val="0"/>
        <w:spacing w:after="0" w:line="240" w:lineRule="auto"/>
        <w:jc w:val="both"/>
        <w:rPr>
          <w:rFonts w:ascii="Garamond" w:hAnsi="Garamond" w:cs="MyriadPro-Regular"/>
          <w:sz w:val="24"/>
          <w:szCs w:val="24"/>
        </w:rPr>
      </w:pPr>
    </w:p>
    <w:p w:rsidR="003C0B34" w:rsidRDefault="003C0B34" w:rsidP="00C26A15">
      <w:pPr>
        <w:autoSpaceDE w:val="0"/>
        <w:autoSpaceDN w:val="0"/>
        <w:adjustRightInd w:val="0"/>
        <w:spacing w:after="0" w:line="240" w:lineRule="auto"/>
        <w:jc w:val="both"/>
        <w:rPr>
          <w:rFonts w:ascii="Garamond" w:hAnsi="Garamond" w:cs="MyriadPro-Regular"/>
          <w:sz w:val="24"/>
          <w:szCs w:val="24"/>
        </w:rPr>
      </w:pPr>
    </w:p>
    <w:p w:rsidR="00047051" w:rsidRDefault="00047051" w:rsidP="00C26A15">
      <w:pPr>
        <w:autoSpaceDE w:val="0"/>
        <w:autoSpaceDN w:val="0"/>
        <w:adjustRightInd w:val="0"/>
        <w:spacing w:after="0" w:line="240" w:lineRule="auto"/>
        <w:jc w:val="both"/>
        <w:rPr>
          <w:rFonts w:ascii="Garamond" w:hAnsi="Garamond" w:cs="MyriadPro-Regular"/>
          <w:sz w:val="24"/>
          <w:szCs w:val="24"/>
        </w:rPr>
      </w:pPr>
    </w:p>
    <w:p w:rsidR="008046F4" w:rsidRPr="005869EF" w:rsidRDefault="008046F4" w:rsidP="00C26A15">
      <w:pPr>
        <w:pStyle w:val="ListParagraph"/>
        <w:pBdr>
          <w:top w:val="single" w:sz="4" w:space="1" w:color="auto"/>
          <w:left w:val="single" w:sz="4" w:space="4" w:color="auto"/>
          <w:bottom w:val="single" w:sz="4" w:space="1" w:color="auto"/>
          <w:right w:val="single" w:sz="4" w:space="4" w:color="auto"/>
        </w:pBdr>
        <w:tabs>
          <w:tab w:val="left" w:pos="-90"/>
        </w:tabs>
        <w:spacing w:after="0" w:line="240" w:lineRule="auto"/>
        <w:jc w:val="both"/>
        <w:rPr>
          <w:rFonts w:ascii="Garamond" w:hAnsi="Garamond" w:cs="Times New Roman"/>
          <w:b/>
          <w:color w:val="000000"/>
          <w:sz w:val="24"/>
          <w:szCs w:val="24"/>
        </w:rPr>
      </w:pPr>
      <w:r w:rsidRPr="005869EF">
        <w:rPr>
          <w:rFonts w:ascii="Garamond" w:hAnsi="Garamond" w:cs="Times New Roman"/>
          <w:b/>
          <w:color w:val="000000"/>
          <w:sz w:val="24"/>
          <w:szCs w:val="24"/>
        </w:rPr>
        <w:t xml:space="preserve">Box </w:t>
      </w:r>
      <w:r w:rsidR="00FD0262">
        <w:rPr>
          <w:rFonts w:ascii="Garamond" w:hAnsi="Garamond" w:cs="Times New Roman"/>
          <w:b/>
          <w:color w:val="000000"/>
          <w:sz w:val="24"/>
          <w:szCs w:val="24"/>
        </w:rPr>
        <w:t>3</w:t>
      </w:r>
      <w:r w:rsidRPr="005869EF">
        <w:rPr>
          <w:rFonts w:ascii="Garamond" w:hAnsi="Garamond" w:cs="Times New Roman"/>
          <w:b/>
          <w:color w:val="000000"/>
          <w:sz w:val="24"/>
          <w:szCs w:val="24"/>
        </w:rPr>
        <w:t xml:space="preserve">: Coordination mechanism: Selected country experiences </w:t>
      </w:r>
    </w:p>
    <w:p w:rsidR="008046F4" w:rsidRPr="005869EF" w:rsidRDefault="008046F4" w:rsidP="00C26A15">
      <w:pPr>
        <w:pStyle w:val="ListParagraph"/>
        <w:pBdr>
          <w:top w:val="single" w:sz="4" w:space="1" w:color="auto"/>
          <w:left w:val="single" w:sz="4" w:space="4" w:color="auto"/>
          <w:bottom w:val="single" w:sz="4" w:space="1" w:color="auto"/>
          <w:right w:val="single" w:sz="4" w:space="4" w:color="auto"/>
        </w:pBdr>
        <w:tabs>
          <w:tab w:val="left" w:pos="-90"/>
        </w:tabs>
        <w:spacing w:after="0" w:line="240" w:lineRule="auto"/>
        <w:jc w:val="both"/>
        <w:rPr>
          <w:rFonts w:ascii="Garamond" w:hAnsi="Garamond" w:cs="Times New Roman"/>
          <w:b/>
          <w:color w:val="000000"/>
          <w:sz w:val="24"/>
          <w:szCs w:val="24"/>
        </w:rPr>
      </w:pPr>
    </w:p>
    <w:p w:rsidR="00C00F87" w:rsidRPr="00FB39F3" w:rsidRDefault="00C00F87" w:rsidP="00C26A15">
      <w:pPr>
        <w:pStyle w:val="ListParagraph"/>
        <w:pBdr>
          <w:top w:val="single" w:sz="4" w:space="1" w:color="auto"/>
          <w:left w:val="single" w:sz="4" w:space="4" w:color="auto"/>
          <w:bottom w:val="single" w:sz="4" w:space="1" w:color="auto"/>
          <w:right w:val="single" w:sz="4" w:space="4" w:color="auto"/>
        </w:pBdr>
        <w:tabs>
          <w:tab w:val="left" w:pos="-90"/>
        </w:tabs>
        <w:spacing w:after="0" w:line="240" w:lineRule="auto"/>
        <w:jc w:val="both"/>
        <w:rPr>
          <w:rFonts w:ascii="Garamond" w:hAnsi="Garamond" w:cs="Times New Roman"/>
          <w:color w:val="000000"/>
          <w:sz w:val="24"/>
          <w:szCs w:val="24"/>
        </w:rPr>
      </w:pPr>
      <w:r w:rsidRPr="00FB39F3">
        <w:rPr>
          <w:rFonts w:ascii="Garamond" w:hAnsi="Garamond" w:cs="Times New Roman"/>
          <w:b/>
          <w:color w:val="000000"/>
          <w:sz w:val="24"/>
          <w:szCs w:val="24"/>
        </w:rPr>
        <w:t>Ethiopia</w:t>
      </w:r>
      <w:r w:rsidRPr="00FB39F3">
        <w:rPr>
          <w:rFonts w:ascii="Garamond" w:hAnsi="Garamond" w:cs="Times New Roman"/>
          <w:color w:val="000000"/>
          <w:sz w:val="24"/>
          <w:szCs w:val="24"/>
        </w:rPr>
        <w:t xml:space="preserve">: Ethiopia has established a National Planning Commission in 2013 with the core mandate of coordinating and guiding national plan preparation (both medium and long-term plans) and </w:t>
      </w:r>
      <w:r w:rsidRPr="00FB39F3">
        <w:rPr>
          <w:rFonts w:ascii="Garamond" w:eastAsia="Calibri" w:hAnsi="Garamond" w:cs="Times New Roman"/>
          <w:sz w:val="24"/>
          <w:szCs w:val="24"/>
        </w:rPr>
        <w:t xml:space="preserve">monitoring and evaluation of national plans and programs. The National Planning Commission </w:t>
      </w:r>
      <w:r w:rsidRPr="00FB39F3">
        <w:rPr>
          <w:rFonts w:ascii="Garamond" w:hAnsi="Garamond" w:cs="Times New Roman"/>
          <w:color w:val="000000"/>
          <w:sz w:val="24"/>
          <w:szCs w:val="24"/>
        </w:rPr>
        <w:t xml:space="preserve">ensures coherence and effective planning and implementation of programs at the national and subnational levels. The Commission has also monitoring, evaluation and reporting systems that are implemented at all levels of government. Ethiopia has also established a Climate Resilient Green Economy (CRGE) Facility within the Ministry of Finance and Economic Cooperation to coordinate resource mobilization efforts of the country, with a focus on sustainable development related resources. Ethiopia has mainstreamed both the CRGE strategy and SDGs into its medium-term development plan (i.e. growth and transformation plan (GTP-II). </w:t>
      </w:r>
    </w:p>
    <w:p w:rsidR="008046F4" w:rsidRPr="00FB39F3" w:rsidRDefault="008046F4" w:rsidP="00C26A15">
      <w:pPr>
        <w:pStyle w:val="ListParagraph"/>
        <w:pBdr>
          <w:top w:val="single" w:sz="4" w:space="1" w:color="auto"/>
          <w:left w:val="single" w:sz="4" w:space="4" w:color="auto"/>
          <w:bottom w:val="single" w:sz="4" w:space="1" w:color="auto"/>
          <w:right w:val="single" w:sz="4" w:space="4" w:color="auto"/>
        </w:pBdr>
        <w:tabs>
          <w:tab w:val="left" w:pos="-90"/>
        </w:tabs>
        <w:spacing w:after="0" w:line="240" w:lineRule="auto"/>
        <w:jc w:val="both"/>
        <w:rPr>
          <w:rFonts w:ascii="Garamond" w:hAnsi="Garamond" w:cs="Times New Roman"/>
          <w:color w:val="000000"/>
          <w:sz w:val="24"/>
          <w:szCs w:val="24"/>
        </w:rPr>
      </w:pPr>
      <w:r w:rsidRPr="00FB39F3">
        <w:rPr>
          <w:rFonts w:ascii="Garamond" w:hAnsi="Garamond" w:cs="Times New Roman"/>
          <w:b/>
          <w:color w:val="000000"/>
          <w:sz w:val="24"/>
          <w:szCs w:val="24"/>
        </w:rPr>
        <w:t xml:space="preserve">Mauritius: </w:t>
      </w:r>
      <w:r w:rsidRPr="00FB39F3">
        <w:rPr>
          <w:rFonts w:ascii="Garamond" w:hAnsi="Garamond" w:cs="Times New Roman"/>
          <w:color w:val="000000"/>
          <w:sz w:val="24"/>
          <w:szCs w:val="24"/>
        </w:rPr>
        <w:t xml:space="preserve">Mauritius established a Council for Sustainable Development (CSD) to oversee the implementation of SD plans. The main functions of the Council includes coordination of SD programs at all levels, provide advice for the government on SD policies, and acting as the “watchdog” for SD in the country. Above the CSD, there is a strategic committee whose members are drawn from academia, government officials, the private sector, and civil society. The committee provides strategic advice to the CSD on emerging and compliance as well as legal issues. </w:t>
      </w:r>
    </w:p>
    <w:p w:rsidR="008046F4" w:rsidRPr="00FB39F3" w:rsidRDefault="008046F4" w:rsidP="00C26A15">
      <w:pPr>
        <w:pStyle w:val="ListParagraph"/>
        <w:pBdr>
          <w:top w:val="single" w:sz="4" w:space="1" w:color="auto"/>
          <w:left w:val="single" w:sz="4" w:space="4" w:color="auto"/>
          <w:bottom w:val="single" w:sz="4" w:space="1" w:color="auto"/>
          <w:right w:val="single" w:sz="4" w:space="4" w:color="auto"/>
        </w:pBdr>
        <w:tabs>
          <w:tab w:val="left" w:pos="-90"/>
        </w:tabs>
        <w:spacing w:after="0" w:line="240" w:lineRule="auto"/>
        <w:jc w:val="both"/>
        <w:rPr>
          <w:rFonts w:ascii="Garamond" w:hAnsi="Garamond" w:cs="Times New Roman"/>
          <w:color w:val="000000"/>
          <w:sz w:val="24"/>
          <w:szCs w:val="24"/>
        </w:rPr>
      </w:pPr>
      <w:r w:rsidRPr="00FB39F3">
        <w:rPr>
          <w:rFonts w:ascii="Garamond" w:hAnsi="Garamond" w:cs="Times New Roman"/>
          <w:sz w:val="24"/>
          <w:szCs w:val="24"/>
        </w:rPr>
        <w:t xml:space="preserve">Source: </w:t>
      </w:r>
      <w:r w:rsidRPr="00FB39F3">
        <w:rPr>
          <w:rFonts w:ascii="Garamond" w:hAnsi="Garamond" w:cs="Times New Roman"/>
          <w:iCs/>
          <w:sz w:val="24"/>
          <w:szCs w:val="24"/>
        </w:rPr>
        <w:t>Urama</w:t>
      </w:r>
      <w:r w:rsidRPr="00FB39F3">
        <w:rPr>
          <w:rFonts w:ascii="Garamond" w:hAnsi="Garamond" w:cs="Times New Roman"/>
          <w:i/>
          <w:iCs/>
          <w:sz w:val="24"/>
          <w:szCs w:val="24"/>
        </w:rPr>
        <w:t xml:space="preserve"> et al. (</w:t>
      </w:r>
      <w:r w:rsidRPr="00FB39F3">
        <w:rPr>
          <w:rFonts w:ascii="Garamond" w:hAnsi="Garamond" w:cs="Times New Roman"/>
          <w:iCs/>
          <w:sz w:val="24"/>
          <w:szCs w:val="24"/>
        </w:rPr>
        <w:t>2014)</w:t>
      </w:r>
    </w:p>
    <w:p w:rsidR="00414CB7" w:rsidRDefault="008046F4" w:rsidP="00414CB7">
      <w:pPr>
        <w:autoSpaceDE w:val="0"/>
        <w:autoSpaceDN w:val="0"/>
        <w:adjustRightInd w:val="0"/>
        <w:spacing w:after="0" w:line="240" w:lineRule="auto"/>
        <w:jc w:val="both"/>
        <w:rPr>
          <w:rFonts w:ascii="Garamond" w:hAnsi="Garamond" w:cs="Calibri"/>
          <w:sz w:val="24"/>
          <w:szCs w:val="24"/>
        </w:rPr>
      </w:pPr>
      <w:r>
        <w:rPr>
          <w:rFonts w:ascii="Garamond" w:hAnsi="Garamond" w:cs="Calibri"/>
          <w:sz w:val="24"/>
          <w:szCs w:val="24"/>
        </w:rPr>
        <w:t xml:space="preserve">The </w:t>
      </w:r>
      <w:r w:rsidRPr="00A72E3D">
        <w:rPr>
          <w:rFonts w:ascii="Garamond" w:hAnsi="Garamond" w:cs="Calibri"/>
          <w:sz w:val="24"/>
          <w:szCs w:val="24"/>
        </w:rPr>
        <w:t>Environmental Council</w:t>
      </w:r>
      <w:r>
        <w:rPr>
          <w:rFonts w:ascii="Garamond" w:hAnsi="Garamond" w:cs="Calibri"/>
          <w:sz w:val="24"/>
          <w:szCs w:val="24"/>
        </w:rPr>
        <w:t xml:space="preserve"> (EC), chaired by the Prime Minister, was established to oversee the implementation of the CRGE strategy. Members of the EC are drawn from </w:t>
      </w:r>
      <w:r w:rsidRPr="00A72E3D">
        <w:rPr>
          <w:rFonts w:ascii="Garamond" w:hAnsi="Garamond" w:cs="Calibri"/>
          <w:sz w:val="24"/>
          <w:szCs w:val="24"/>
        </w:rPr>
        <w:t>Federal Ministries, Presidents of Regional States, and representatives of non</w:t>
      </w:r>
      <w:r w:rsidRPr="00A72E3D">
        <w:rPr>
          <w:rFonts w:ascii="Cambria Math" w:hAnsi="Cambria Math" w:cs="Cambria Math"/>
          <w:sz w:val="24"/>
          <w:szCs w:val="24"/>
        </w:rPr>
        <w:t>‐</w:t>
      </w:r>
      <w:r w:rsidRPr="00A72E3D">
        <w:rPr>
          <w:rFonts w:ascii="Garamond" w:hAnsi="Garamond" w:cs="Calibri"/>
          <w:sz w:val="24"/>
          <w:szCs w:val="24"/>
        </w:rPr>
        <w:t>governmental bodies, the private sector and trade unions</w:t>
      </w:r>
      <w:r>
        <w:rPr>
          <w:rFonts w:ascii="Garamond" w:hAnsi="Garamond" w:cs="Calibri"/>
          <w:sz w:val="24"/>
          <w:szCs w:val="24"/>
        </w:rPr>
        <w:t xml:space="preserve"> (see Ferede, 2014; UNDESA, 2012)</w:t>
      </w:r>
      <w:r w:rsidRPr="00A72E3D">
        <w:rPr>
          <w:rFonts w:ascii="Garamond" w:hAnsi="Garamond" w:cs="Calibri"/>
          <w:sz w:val="24"/>
          <w:szCs w:val="24"/>
        </w:rPr>
        <w:t>.</w:t>
      </w:r>
      <w:r>
        <w:rPr>
          <w:rFonts w:ascii="Garamond" w:hAnsi="Garamond" w:cs="Calibri"/>
          <w:sz w:val="24"/>
          <w:szCs w:val="24"/>
        </w:rPr>
        <w:t xml:space="preserve"> EC can serve as an entry point to establish Sustainable Development Council (SDC) that oversees the implementation of SD</w:t>
      </w:r>
      <w:r w:rsidR="00BE4355">
        <w:rPr>
          <w:rFonts w:ascii="Garamond" w:hAnsi="Garamond" w:cs="Calibri"/>
          <w:sz w:val="24"/>
          <w:szCs w:val="24"/>
        </w:rPr>
        <w:t xml:space="preserve">Gs </w:t>
      </w:r>
      <w:r>
        <w:rPr>
          <w:rFonts w:ascii="Garamond" w:hAnsi="Garamond" w:cs="Calibri"/>
          <w:sz w:val="24"/>
          <w:szCs w:val="24"/>
        </w:rPr>
        <w:t xml:space="preserve">in the country. The SDC will serve as an </w:t>
      </w:r>
      <w:r>
        <w:rPr>
          <w:rFonts w:ascii="Garamond" w:hAnsi="Garamond"/>
          <w:sz w:val="24"/>
          <w:szCs w:val="24"/>
        </w:rPr>
        <w:t>inter-ministerial co</w:t>
      </w:r>
      <w:r w:rsidRPr="00A72E3D">
        <w:rPr>
          <w:rFonts w:ascii="Garamond" w:hAnsi="Garamond"/>
          <w:sz w:val="24"/>
          <w:szCs w:val="24"/>
        </w:rPr>
        <w:t>ordinating committee for sustainable</w:t>
      </w:r>
      <w:r>
        <w:rPr>
          <w:rFonts w:ascii="Garamond" w:hAnsi="Garamond"/>
          <w:sz w:val="24"/>
          <w:szCs w:val="24"/>
        </w:rPr>
        <w:t xml:space="preserve"> </w:t>
      </w:r>
      <w:r w:rsidRPr="00A72E3D">
        <w:rPr>
          <w:rFonts w:ascii="Garamond" w:hAnsi="Garamond"/>
          <w:sz w:val="24"/>
          <w:szCs w:val="24"/>
        </w:rPr>
        <w:t>development, which provide</w:t>
      </w:r>
      <w:r>
        <w:rPr>
          <w:rFonts w:ascii="Garamond" w:hAnsi="Garamond"/>
          <w:sz w:val="24"/>
          <w:szCs w:val="24"/>
        </w:rPr>
        <w:t>s</w:t>
      </w:r>
      <w:r w:rsidRPr="00A72E3D">
        <w:rPr>
          <w:rFonts w:ascii="Garamond" w:hAnsi="Garamond"/>
          <w:sz w:val="24"/>
          <w:szCs w:val="24"/>
        </w:rPr>
        <w:t xml:space="preserve"> an overarching </w:t>
      </w:r>
      <w:r>
        <w:rPr>
          <w:rFonts w:ascii="Garamond" w:hAnsi="Garamond"/>
          <w:sz w:val="24"/>
          <w:szCs w:val="24"/>
        </w:rPr>
        <w:t>policy direction for the implementation of SD agenda</w:t>
      </w:r>
      <w:r w:rsidRPr="00A72E3D">
        <w:rPr>
          <w:rFonts w:ascii="Garamond" w:hAnsi="Garamond"/>
          <w:sz w:val="24"/>
          <w:szCs w:val="24"/>
        </w:rPr>
        <w:t>.</w:t>
      </w:r>
      <w:r>
        <w:rPr>
          <w:rFonts w:ascii="Garamond" w:hAnsi="Garamond"/>
          <w:sz w:val="24"/>
          <w:szCs w:val="24"/>
        </w:rPr>
        <w:t xml:space="preserve"> </w:t>
      </w:r>
      <w:r>
        <w:rPr>
          <w:rFonts w:ascii="Garamond" w:hAnsi="Garamond" w:cs="Calibri"/>
          <w:sz w:val="24"/>
          <w:szCs w:val="24"/>
        </w:rPr>
        <w:t xml:space="preserve">The same committee can be reoriented to provide technical support to SDC. </w:t>
      </w:r>
      <w:bookmarkStart w:id="45" w:name="_Toc436575007"/>
    </w:p>
    <w:bookmarkEnd w:id="45"/>
    <w:p w:rsidR="001D4C6C" w:rsidRPr="00047051" w:rsidRDefault="00D85BCC" w:rsidP="00047051">
      <w:pPr>
        <w:pStyle w:val="Heading2"/>
        <w:rPr>
          <w:rFonts w:ascii="Garamond" w:hAnsi="Garamond"/>
          <w:b/>
          <w:sz w:val="24"/>
          <w:szCs w:val="24"/>
          <w:lang w:val="en-GB"/>
        </w:rPr>
      </w:pPr>
      <w:r>
        <w:rPr>
          <w:lang w:val="en-GB" w:eastAsia="en-GB"/>
        </w:rPr>
        <w:br w:type="page"/>
      </w:r>
      <w:bookmarkStart w:id="46" w:name="_Toc486782267"/>
      <w:r w:rsidR="001D4C6C" w:rsidRPr="00047051">
        <w:rPr>
          <w:rFonts w:ascii="Garamond" w:hAnsi="Garamond"/>
          <w:b/>
          <w:sz w:val="24"/>
          <w:szCs w:val="24"/>
          <w:lang w:val="en-GB"/>
        </w:rPr>
        <w:lastRenderedPageBreak/>
        <w:t>4.</w:t>
      </w:r>
      <w:r w:rsidR="00047051" w:rsidRPr="00047051">
        <w:rPr>
          <w:rFonts w:ascii="Garamond" w:hAnsi="Garamond"/>
          <w:b/>
          <w:sz w:val="24"/>
          <w:szCs w:val="24"/>
          <w:lang w:val="en-GB"/>
        </w:rPr>
        <w:t>3</w:t>
      </w:r>
      <w:r w:rsidR="001D4C6C" w:rsidRPr="00047051">
        <w:rPr>
          <w:rFonts w:ascii="Garamond" w:hAnsi="Garamond"/>
          <w:b/>
          <w:sz w:val="24"/>
          <w:szCs w:val="24"/>
          <w:lang w:val="en-GB"/>
        </w:rPr>
        <w:t xml:space="preserve"> National Framework for financing development: Planning and </w:t>
      </w:r>
      <w:r w:rsidR="000E5DEC">
        <w:rPr>
          <w:rFonts w:ascii="Garamond" w:hAnsi="Garamond"/>
          <w:b/>
          <w:sz w:val="24"/>
          <w:szCs w:val="24"/>
          <w:lang w:val="en-GB"/>
        </w:rPr>
        <w:t>b</w:t>
      </w:r>
      <w:r w:rsidR="001D4C6C" w:rsidRPr="00047051">
        <w:rPr>
          <w:rFonts w:ascii="Garamond" w:hAnsi="Garamond"/>
          <w:b/>
          <w:sz w:val="24"/>
          <w:szCs w:val="24"/>
          <w:lang w:val="en-GB"/>
        </w:rPr>
        <w:t>udget process</w:t>
      </w:r>
      <w:bookmarkEnd w:id="46"/>
    </w:p>
    <w:p w:rsidR="001D4C6C" w:rsidRDefault="001D4C6C" w:rsidP="001D4C6C">
      <w:pPr>
        <w:autoSpaceDE w:val="0"/>
        <w:autoSpaceDN w:val="0"/>
        <w:adjustRightInd w:val="0"/>
        <w:spacing w:after="0" w:line="240" w:lineRule="auto"/>
        <w:jc w:val="both"/>
        <w:rPr>
          <w:rFonts w:ascii="Garamond" w:eastAsiaTheme="majorEastAsia" w:hAnsi="Garamond" w:cstheme="majorBidi"/>
          <w:b/>
          <w:color w:val="2E74B5" w:themeColor="accent1" w:themeShade="BF"/>
          <w:sz w:val="24"/>
          <w:szCs w:val="24"/>
          <w:lang w:val="en-GB"/>
        </w:rPr>
      </w:pPr>
    </w:p>
    <w:p w:rsidR="001D4C6C" w:rsidRDefault="001D4C6C" w:rsidP="001D4C6C">
      <w:pPr>
        <w:autoSpaceDE w:val="0"/>
        <w:autoSpaceDN w:val="0"/>
        <w:adjustRightInd w:val="0"/>
        <w:spacing w:after="0" w:line="240" w:lineRule="auto"/>
        <w:jc w:val="both"/>
        <w:rPr>
          <w:rFonts w:ascii="Garamond" w:eastAsiaTheme="minorHAnsi" w:hAnsi="Garamond" w:cs="MyriadPro-Regular"/>
          <w:sz w:val="24"/>
          <w:szCs w:val="24"/>
        </w:rPr>
      </w:pPr>
      <w:r w:rsidRPr="002A4A3C">
        <w:rPr>
          <w:rFonts w:ascii="Garamond" w:hAnsi="Garamond"/>
          <w:sz w:val="24"/>
          <w:szCs w:val="24"/>
        </w:rPr>
        <w:t>The Ministry of Finance and Economic Cooperation (MoFEC) plays the key role in public financial planning, budget preparation, execution and control.</w:t>
      </w:r>
      <w:r w:rsidRPr="002A4A3C">
        <w:rPr>
          <w:sz w:val="24"/>
          <w:szCs w:val="24"/>
        </w:rPr>
        <w:t xml:space="preserve"> </w:t>
      </w:r>
      <w:r w:rsidRPr="003C370F">
        <w:rPr>
          <w:rFonts w:ascii="Garamond" w:hAnsi="Garamond"/>
          <w:sz w:val="24"/>
          <w:szCs w:val="24"/>
        </w:rPr>
        <w:t>MoFEC follows an integrated planning and budget process</w:t>
      </w:r>
      <w:r>
        <w:rPr>
          <w:rFonts w:ascii="Garamond" w:hAnsi="Garamond"/>
          <w:sz w:val="24"/>
          <w:szCs w:val="24"/>
        </w:rPr>
        <w:t xml:space="preserve"> in line with programme budgeting</w:t>
      </w:r>
      <w:r w:rsidRPr="003C370F">
        <w:rPr>
          <w:rFonts w:ascii="Garamond" w:hAnsi="Garamond"/>
          <w:sz w:val="24"/>
          <w:szCs w:val="24"/>
        </w:rPr>
        <w:t>.</w:t>
      </w:r>
      <w:r>
        <w:rPr>
          <w:sz w:val="24"/>
          <w:szCs w:val="24"/>
        </w:rPr>
        <w:t xml:space="preserve"> </w:t>
      </w:r>
      <w:r w:rsidRPr="002A4A3C">
        <w:rPr>
          <w:rFonts w:ascii="Garamond" w:eastAsiaTheme="minorHAnsi" w:hAnsi="Garamond" w:cs="MyriadPro-Regular"/>
          <w:sz w:val="24"/>
          <w:szCs w:val="24"/>
        </w:rPr>
        <w:t xml:space="preserve">The budget </w:t>
      </w:r>
      <w:r>
        <w:rPr>
          <w:rFonts w:ascii="Garamond" w:eastAsiaTheme="minorHAnsi" w:hAnsi="Garamond" w:cs="MyriadPro-Regular"/>
          <w:sz w:val="24"/>
          <w:szCs w:val="24"/>
        </w:rPr>
        <w:t>schedule involves two main processes: planning and budget processes. In the planning process, government</w:t>
      </w:r>
      <w:r w:rsidRPr="002A4A3C">
        <w:rPr>
          <w:rFonts w:ascii="Garamond" w:hAnsi="Garamond"/>
          <w:sz w:val="24"/>
          <w:szCs w:val="24"/>
        </w:rPr>
        <w:t xml:space="preserve"> forecast</w:t>
      </w:r>
      <w:r>
        <w:rPr>
          <w:rFonts w:ascii="Garamond" w:hAnsi="Garamond"/>
          <w:sz w:val="24"/>
          <w:szCs w:val="24"/>
        </w:rPr>
        <w:t xml:space="preserve"> </w:t>
      </w:r>
      <w:r w:rsidR="000E5DEC">
        <w:rPr>
          <w:rFonts w:ascii="Garamond" w:hAnsi="Garamond"/>
          <w:sz w:val="24"/>
          <w:szCs w:val="24"/>
        </w:rPr>
        <w:t xml:space="preserve">of </w:t>
      </w:r>
      <w:r w:rsidR="000E5DEC" w:rsidRPr="002A4A3C">
        <w:rPr>
          <w:rFonts w:ascii="Garamond" w:hAnsi="Garamond"/>
          <w:sz w:val="24"/>
          <w:szCs w:val="24"/>
        </w:rPr>
        <w:t>resources</w:t>
      </w:r>
      <w:r w:rsidR="000E5DEC" w:rsidRPr="002A4A3C">
        <w:rPr>
          <w:rFonts w:ascii="Garamond" w:eastAsiaTheme="minorHAnsi" w:hAnsi="Garamond" w:cs="MyriadPro-Regular"/>
          <w:sz w:val="24"/>
          <w:szCs w:val="24"/>
        </w:rPr>
        <w:t xml:space="preserve"> </w:t>
      </w:r>
      <w:r w:rsidRPr="002A4A3C">
        <w:rPr>
          <w:rFonts w:ascii="Garamond" w:eastAsiaTheme="minorHAnsi" w:hAnsi="Garamond" w:cs="MyriadPro-Regular"/>
          <w:sz w:val="24"/>
          <w:szCs w:val="24"/>
        </w:rPr>
        <w:t xml:space="preserve">defines the budget envelope and serve as the principal resource constraint. </w:t>
      </w:r>
      <w:r>
        <w:rPr>
          <w:rFonts w:ascii="Garamond" w:eastAsiaTheme="minorHAnsi" w:hAnsi="Garamond" w:cs="MyriadPro-Regular"/>
          <w:sz w:val="24"/>
          <w:szCs w:val="24"/>
        </w:rPr>
        <w:t>T</w:t>
      </w:r>
      <w:r w:rsidRPr="00415AD6">
        <w:rPr>
          <w:rFonts w:ascii="Garamond" w:eastAsiaTheme="minorHAnsi" w:hAnsi="Garamond" w:cs="MyriadPro-Regular"/>
          <w:sz w:val="24"/>
          <w:szCs w:val="24"/>
        </w:rPr>
        <w:t xml:space="preserve">he </w:t>
      </w:r>
      <w:r w:rsidR="000E5DEC" w:rsidRPr="002A4A3C">
        <w:rPr>
          <w:rFonts w:ascii="Garamond" w:eastAsiaTheme="minorHAnsi" w:hAnsi="Garamond" w:cs="MyriadPro-Regular"/>
          <w:sz w:val="24"/>
          <w:szCs w:val="24"/>
        </w:rPr>
        <w:t xml:space="preserve">macroeconomic fiscal framework </w:t>
      </w:r>
      <w:r w:rsidR="000E5DEC">
        <w:rPr>
          <w:rFonts w:ascii="Garamond" w:eastAsiaTheme="minorHAnsi" w:hAnsi="Garamond" w:cs="MyriadPro-Regular"/>
          <w:sz w:val="24"/>
          <w:szCs w:val="24"/>
        </w:rPr>
        <w:t>(</w:t>
      </w:r>
      <w:r>
        <w:rPr>
          <w:rFonts w:ascii="Garamond" w:eastAsiaTheme="minorHAnsi" w:hAnsi="Garamond" w:cs="MyriadPro-Regular"/>
          <w:sz w:val="24"/>
          <w:szCs w:val="24"/>
        </w:rPr>
        <w:t>MEFF</w:t>
      </w:r>
      <w:r w:rsidR="000E5DEC">
        <w:rPr>
          <w:rFonts w:ascii="Garamond" w:eastAsiaTheme="minorHAnsi" w:hAnsi="Garamond" w:cs="MyriadPro-Regular"/>
          <w:sz w:val="24"/>
          <w:szCs w:val="24"/>
        </w:rPr>
        <w:t>)</w:t>
      </w:r>
      <w:r>
        <w:rPr>
          <w:rFonts w:ascii="Garamond" w:eastAsiaTheme="minorHAnsi" w:hAnsi="Garamond" w:cs="MyriadPro-Regular"/>
          <w:sz w:val="24"/>
          <w:szCs w:val="24"/>
        </w:rPr>
        <w:t xml:space="preserve"> </w:t>
      </w:r>
      <w:r w:rsidRPr="00415AD6">
        <w:rPr>
          <w:rFonts w:ascii="Garamond" w:eastAsiaTheme="minorHAnsi" w:hAnsi="Garamond" w:cs="MyriadPro-Regular"/>
          <w:sz w:val="24"/>
          <w:szCs w:val="24"/>
        </w:rPr>
        <w:t xml:space="preserve">preparation process is </w:t>
      </w:r>
      <w:r>
        <w:rPr>
          <w:rFonts w:ascii="Garamond" w:eastAsiaTheme="minorHAnsi" w:hAnsi="Garamond" w:cs="MyriadPro-Regular"/>
          <w:sz w:val="24"/>
          <w:szCs w:val="24"/>
        </w:rPr>
        <w:t xml:space="preserve">led by MoFEC and is </w:t>
      </w:r>
      <w:r w:rsidRPr="00415AD6">
        <w:rPr>
          <w:rFonts w:ascii="Garamond" w:eastAsiaTheme="minorHAnsi" w:hAnsi="Garamond" w:cs="MyriadPro-Regular"/>
          <w:sz w:val="24"/>
          <w:szCs w:val="24"/>
        </w:rPr>
        <w:t>completed in t</w:t>
      </w:r>
      <w:r>
        <w:rPr>
          <w:rFonts w:ascii="Garamond" w:eastAsiaTheme="minorHAnsi" w:hAnsi="Garamond" w:cs="MyriadPro-Regular"/>
          <w:sz w:val="24"/>
          <w:szCs w:val="24"/>
        </w:rPr>
        <w:t xml:space="preserve">wo </w:t>
      </w:r>
      <w:r w:rsidRPr="00415AD6">
        <w:rPr>
          <w:rFonts w:ascii="Garamond" w:eastAsiaTheme="minorHAnsi" w:hAnsi="Garamond" w:cs="MyriadPro-Regular"/>
          <w:sz w:val="24"/>
          <w:szCs w:val="24"/>
        </w:rPr>
        <w:t xml:space="preserve">phases: (i) </w:t>
      </w:r>
      <w:r>
        <w:rPr>
          <w:rFonts w:ascii="Garamond" w:eastAsiaTheme="minorHAnsi" w:hAnsi="Garamond" w:cs="MyriadPro-Regular"/>
          <w:sz w:val="24"/>
          <w:szCs w:val="24"/>
        </w:rPr>
        <w:t xml:space="preserve">preparation and </w:t>
      </w:r>
      <w:r w:rsidRPr="00415AD6">
        <w:rPr>
          <w:rFonts w:ascii="Garamond" w:eastAsiaTheme="minorHAnsi" w:hAnsi="Garamond" w:cs="MyriadPro-Regular"/>
          <w:sz w:val="24"/>
          <w:szCs w:val="24"/>
        </w:rPr>
        <w:t>(ii) approval</w:t>
      </w:r>
      <w:r>
        <w:rPr>
          <w:rFonts w:ascii="Garamond" w:eastAsiaTheme="minorHAnsi" w:hAnsi="Garamond" w:cs="MyriadPro-Regular"/>
          <w:sz w:val="24"/>
          <w:szCs w:val="24"/>
        </w:rPr>
        <w:t>.</w:t>
      </w:r>
      <w:r w:rsidRPr="00415AD6">
        <w:rPr>
          <w:rFonts w:ascii="Garamond" w:eastAsiaTheme="minorHAnsi" w:hAnsi="Garamond" w:cs="MyriadPro-Regular"/>
          <w:sz w:val="24"/>
          <w:szCs w:val="24"/>
        </w:rPr>
        <w:t xml:space="preserve"> </w:t>
      </w:r>
      <w:r>
        <w:rPr>
          <w:rFonts w:ascii="Garamond" w:eastAsiaTheme="minorHAnsi" w:hAnsi="Garamond" w:cs="MyriadPro-Regular"/>
          <w:sz w:val="24"/>
          <w:szCs w:val="24"/>
        </w:rPr>
        <w:t>The first phase involves estimation of both supply of resources and expenditure needs. Essentially, it consists of three main building blocks.</w:t>
      </w:r>
    </w:p>
    <w:p w:rsidR="001D4C6C" w:rsidRPr="00A47BCE" w:rsidRDefault="001D4C6C" w:rsidP="001D4C6C">
      <w:pPr>
        <w:pStyle w:val="ListParagraph"/>
        <w:numPr>
          <w:ilvl w:val="0"/>
          <w:numId w:val="33"/>
        </w:numPr>
        <w:autoSpaceDE w:val="0"/>
        <w:autoSpaceDN w:val="0"/>
        <w:adjustRightInd w:val="0"/>
        <w:spacing w:after="0" w:line="240" w:lineRule="auto"/>
        <w:jc w:val="both"/>
        <w:rPr>
          <w:rFonts w:ascii="Garamond" w:hAnsi="Garamond" w:cs="MyriadPro-Regular"/>
          <w:sz w:val="24"/>
          <w:szCs w:val="24"/>
        </w:rPr>
      </w:pPr>
      <w:r w:rsidRPr="009855B9">
        <w:rPr>
          <w:rFonts w:ascii="Garamond" w:hAnsi="Garamond" w:cs="MyriadPro-Regular"/>
          <w:b/>
          <w:sz w:val="24"/>
          <w:szCs w:val="24"/>
        </w:rPr>
        <w:t>Macroeconomic forecast</w:t>
      </w:r>
      <w:r w:rsidRPr="00A47BCE">
        <w:rPr>
          <w:rFonts w:ascii="Garamond" w:hAnsi="Garamond" w:cs="MyriadPro-Regular"/>
          <w:sz w:val="24"/>
          <w:szCs w:val="24"/>
        </w:rPr>
        <w:t xml:space="preserve"> includes </w:t>
      </w:r>
      <w:r>
        <w:rPr>
          <w:rFonts w:ascii="Garamond" w:hAnsi="Garamond" w:cs="MyriadPro-Regular"/>
          <w:sz w:val="24"/>
          <w:szCs w:val="24"/>
        </w:rPr>
        <w:t>gross forecast of domestic product (</w:t>
      </w:r>
      <w:r w:rsidRPr="00344D18">
        <w:rPr>
          <w:rFonts w:ascii="Garamond" w:hAnsi="Garamond" w:cs="MyriadPro-Regular"/>
          <w:sz w:val="24"/>
          <w:szCs w:val="24"/>
        </w:rPr>
        <w:t>GDP</w:t>
      </w:r>
      <w:r>
        <w:rPr>
          <w:rFonts w:ascii="Garamond" w:hAnsi="Garamond" w:cs="MyriadPro-Regular"/>
          <w:sz w:val="24"/>
          <w:szCs w:val="24"/>
        </w:rPr>
        <w:t>)</w:t>
      </w:r>
      <w:r w:rsidRPr="00344D18">
        <w:rPr>
          <w:rFonts w:ascii="Garamond" w:hAnsi="Garamond" w:cs="MyriadPro-Regular"/>
          <w:sz w:val="24"/>
          <w:szCs w:val="24"/>
        </w:rPr>
        <w:t>, and</w:t>
      </w:r>
      <w:r>
        <w:rPr>
          <w:rFonts w:ascii="Garamond" w:hAnsi="Garamond" w:cs="MyriadPro-Regular"/>
          <w:sz w:val="24"/>
          <w:szCs w:val="24"/>
        </w:rPr>
        <w:t xml:space="preserve"> balance of payments (</w:t>
      </w:r>
      <w:r w:rsidRPr="00344D18">
        <w:rPr>
          <w:rFonts w:ascii="Garamond" w:hAnsi="Garamond" w:cs="MyriadPro-Regular"/>
          <w:sz w:val="24"/>
          <w:szCs w:val="24"/>
        </w:rPr>
        <w:t>BOP</w:t>
      </w:r>
      <w:r>
        <w:rPr>
          <w:rFonts w:ascii="Garamond" w:hAnsi="Garamond" w:cs="MyriadPro-Regular"/>
          <w:sz w:val="24"/>
          <w:szCs w:val="24"/>
        </w:rPr>
        <w:t>s)</w:t>
      </w:r>
      <w:r w:rsidRPr="00344D18">
        <w:rPr>
          <w:rFonts w:ascii="Garamond" w:hAnsi="Garamond" w:cs="MyriadPro-Regular"/>
          <w:sz w:val="24"/>
          <w:szCs w:val="24"/>
        </w:rPr>
        <w:t>, monetary aggregate and inflation forecasts</w:t>
      </w:r>
      <w:r>
        <w:rPr>
          <w:rFonts w:ascii="Garamond" w:hAnsi="Garamond" w:cs="MyriadPro-Regular"/>
          <w:sz w:val="24"/>
          <w:szCs w:val="24"/>
        </w:rPr>
        <w:t xml:space="preserve">, </w:t>
      </w:r>
    </w:p>
    <w:p w:rsidR="001D4C6C" w:rsidRPr="00A939FC" w:rsidRDefault="001D4C6C" w:rsidP="001D4C6C">
      <w:pPr>
        <w:pStyle w:val="ListParagraph"/>
        <w:numPr>
          <w:ilvl w:val="0"/>
          <w:numId w:val="33"/>
        </w:numPr>
        <w:autoSpaceDE w:val="0"/>
        <w:autoSpaceDN w:val="0"/>
        <w:adjustRightInd w:val="0"/>
        <w:spacing w:after="0" w:line="240" w:lineRule="auto"/>
        <w:jc w:val="both"/>
        <w:rPr>
          <w:rFonts w:ascii="Garamond" w:hAnsi="Garamond" w:cs="MyriadPro-Regular"/>
          <w:sz w:val="24"/>
          <w:szCs w:val="24"/>
        </w:rPr>
      </w:pPr>
      <w:r w:rsidRPr="00A939FC">
        <w:rPr>
          <w:rFonts w:ascii="Garamond" w:hAnsi="Garamond"/>
          <w:b/>
          <w:sz w:val="24"/>
          <w:szCs w:val="24"/>
        </w:rPr>
        <w:t xml:space="preserve">Forecast </w:t>
      </w:r>
      <w:r w:rsidRPr="00A939FC">
        <w:rPr>
          <w:rFonts w:ascii="Garamond" w:hAnsi="Garamond" w:cs="MyriadPro-Regular"/>
          <w:b/>
          <w:sz w:val="24"/>
          <w:szCs w:val="24"/>
        </w:rPr>
        <w:t xml:space="preserve">of resources available </w:t>
      </w:r>
      <w:r w:rsidRPr="00A939FC">
        <w:rPr>
          <w:rFonts w:ascii="Garamond" w:hAnsi="Garamond" w:cs="MyriadPro-Regular"/>
          <w:sz w:val="24"/>
          <w:szCs w:val="24"/>
        </w:rPr>
        <w:t>based on forecast of d</w:t>
      </w:r>
      <w:r w:rsidRPr="00A939FC">
        <w:rPr>
          <w:rFonts w:ascii="Garamond" w:hAnsi="Garamond"/>
          <w:sz w:val="24"/>
          <w:szCs w:val="24"/>
        </w:rPr>
        <w:t>omestic revenues</w:t>
      </w:r>
      <w:r>
        <w:rPr>
          <w:rFonts w:ascii="Garamond" w:hAnsi="Garamond"/>
          <w:sz w:val="24"/>
          <w:szCs w:val="24"/>
        </w:rPr>
        <w:t>,</w:t>
      </w:r>
      <w:r w:rsidRPr="00A939FC">
        <w:rPr>
          <w:rFonts w:ascii="Garamond" w:hAnsi="Garamond"/>
          <w:sz w:val="24"/>
          <w:szCs w:val="24"/>
        </w:rPr>
        <w:t xml:space="preserve"> direct budget support, and of project loans and assistance</w:t>
      </w:r>
      <w:r>
        <w:rPr>
          <w:rFonts w:ascii="Garamond" w:hAnsi="Garamond"/>
          <w:sz w:val="24"/>
          <w:szCs w:val="24"/>
        </w:rPr>
        <w:t xml:space="preserve">, and </w:t>
      </w:r>
      <w:r w:rsidRPr="00A939FC">
        <w:rPr>
          <w:rFonts w:ascii="Garamond" w:hAnsi="Garamond" w:cs="MyriadPro-Regular"/>
          <w:sz w:val="24"/>
          <w:szCs w:val="24"/>
        </w:rPr>
        <w:t xml:space="preserve">  </w:t>
      </w:r>
    </w:p>
    <w:p w:rsidR="001D4C6C" w:rsidRPr="00A939FC" w:rsidRDefault="001D4C6C" w:rsidP="001D4C6C">
      <w:pPr>
        <w:pStyle w:val="ListParagraph"/>
        <w:numPr>
          <w:ilvl w:val="0"/>
          <w:numId w:val="33"/>
        </w:numPr>
        <w:autoSpaceDE w:val="0"/>
        <w:autoSpaceDN w:val="0"/>
        <w:adjustRightInd w:val="0"/>
        <w:spacing w:after="0" w:line="240" w:lineRule="auto"/>
        <w:jc w:val="both"/>
        <w:rPr>
          <w:rFonts w:ascii="Garamond" w:hAnsi="Garamond"/>
          <w:sz w:val="24"/>
          <w:szCs w:val="24"/>
        </w:rPr>
      </w:pPr>
      <w:r w:rsidRPr="00A939FC">
        <w:rPr>
          <w:rFonts w:ascii="Garamond" w:hAnsi="Garamond"/>
          <w:b/>
          <w:sz w:val="24"/>
          <w:szCs w:val="24"/>
        </w:rPr>
        <w:t>Expenditure need</w:t>
      </w:r>
      <w:r>
        <w:rPr>
          <w:rFonts w:ascii="Garamond" w:hAnsi="Garamond"/>
          <w:b/>
          <w:sz w:val="24"/>
          <w:szCs w:val="24"/>
        </w:rPr>
        <w:t>s</w:t>
      </w:r>
      <w:r w:rsidRPr="00A939FC">
        <w:rPr>
          <w:rFonts w:ascii="Garamond" w:hAnsi="Garamond"/>
          <w:b/>
          <w:sz w:val="24"/>
          <w:szCs w:val="24"/>
        </w:rPr>
        <w:t xml:space="preserve"> forecast </w:t>
      </w:r>
      <w:r w:rsidRPr="00A939FC">
        <w:rPr>
          <w:rFonts w:ascii="Garamond" w:hAnsi="Garamond"/>
          <w:sz w:val="24"/>
          <w:szCs w:val="24"/>
        </w:rPr>
        <w:t xml:space="preserve">including forecast of resource requirements for recurrent and capital expenditures, regional requirements for project loans and assistance, and of the total regional expenditure requirements for the priority sectors in GTP-II. </w:t>
      </w:r>
    </w:p>
    <w:p w:rsidR="00C6514A" w:rsidRDefault="00C6514A" w:rsidP="001D4C6C">
      <w:pPr>
        <w:autoSpaceDE w:val="0"/>
        <w:autoSpaceDN w:val="0"/>
        <w:adjustRightInd w:val="0"/>
        <w:spacing w:after="0" w:line="240" w:lineRule="auto"/>
        <w:jc w:val="both"/>
        <w:rPr>
          <w:rFonts w:ascii="Garamond" w:hAnsi="Garamond"/>
          <w:sz w:val="24"/>
          <w:szCs w:val="24"/>
        </w:rPr>
      </w:pPr>
    </w:p>
    <w:p w:rsidR="001D4C6C" w:rsidRPr="00B06C77" w:rsidRDefault="001D4C6C" w:rsidP="001D4C6C">
      <w:pPr>
        <w:autoSpaceDE w:val="0"/>
        <w:autoSpaceDN w:val="0"/>
        <w:adjustRightInd w:val="0"/>
        <w:spacing w:after="0" w:line="240" w:lineRule="auto"/>
        <w:jc w:val="both"/>
        <w:rPr>
          <w:rFonts w:ascii="Garamond" w:hAnsi="Garamond"/>
          <w:sz w:val="24"/>
          <w:szCs w:val="24"/>
        </w:rPr>
      </w:pPr>
      <w:r w:rsidRPr="00191C8A">
        <w:rPr>
          <w:rFonts w:ascii="Garamond" w:hAnsi="Garamond"/>
          <w:sz w:val="24"/>
          <w:szCs w:val="24"/>
        </w:rPr>
        <w:t xml:space="preserve">The above three forms the building blocks of the MEFF which provides indicative planning figures </w:t>
      </w:r>
      <w:r>
        <w:rPr>
          <w:rFonts w:ascii="Garamond" w:hAnsi="Garamond"/>
          <w:sz w:val="24"/>
          <w:szCs w:val="24"/>
        </w:rPr>
        <w:t xml:space="preserve">for both </w:t>
      </w:r>
      <w:r w:rsidRPr="00191C8A">
        <w:rPr>
          <w:rFonts w:ascii="Garamond" w:hAnsi="Garamond"/>
          <w:sz w:val="24"/>
          <w:szCs w:val="24"/>
        </w:rPr>
        <w:t>recurrent and capital expenditure</w:t>
      </w:r>
      <w:r>
        <w:rPr>
          <w:rFonts w:ascii="Garamond" w:hAnsi="Garamond"/>
          <w:sz w:val="24"/>
          <w:szCs w:val="24"/>
        </w:rPr>
        <w:t xml:space="preserve">s. The second phase involves approval of MEFF </w:t>
      </w:r>
      <w:r w:rsidRPr="00A54630">
        <w:rPr>
          <w:rFonts w:ascii="Garamond" w:hAnsi="Garamond"/>
          <w:sz w:val="24"/>
          <w:szCs w:val="24"/>
        </w:rPr>
        <w:t>by the Council of Ministers</w:t>
      </w:r>
      <w:r w:rsidRPr="00191C8A">
        <w:rPr>
          <w:rFonts w:ascii="Garamond" w:hAnsi="Garamond"/>
          <w:sz w:val="24"/>
          <w:szCs w:val="24"/>
        </w:rPr>
        <w:t xml:space="preserve"> </w:t>
      </w:r>
      <w:r>
        <w:rPr>
          <w:rFonts w:ascii="Garamond" w:hAnsi="Garamond"/>
          <w:sz w:val="24"/>
          <w:szCs w:val="24"/>
        </w:rPr>
        <w:t xml:space="preserve">as per the financial regulation No.190/2010. Once MEFF is approved by the Council of Ministers, MoFEC communicates to </w:t>
      </w:r>
      <w:r w:rsidRPr="00A54630">
        <w:rPr>
          <w:rFonts w:ascii="Garamond" w:hAnsi="Garamond"/>
          <w:sz w:val="24"/>
          <w:szCs w:val="24"/>
        </w:rPr>
        <w:t>public institutions regarding MEFF together with the budget call letter to help them guide preparation of their annual budget on the basis of the five-year indicative planning figures</w:t>
      </w:r>
      <w:r>
        <w:rPr>
          <w:rFonts w:ascii="Garamond" w:hAnsi="Garamond"/>
          <w:sz w:val="24"/>
          <w:szCs w:val="24"/>
        </w:rPr>
        <w:t>. As part of the planning process, MoFEC prepares a three year regional general purpose subsidy which is allocated to regional states based regional general purpose grant formula.</w:t>
      </w:r>
      <w:r>
        <w:rPr>
          <w:rStyle w:val="FootnoteReference"/>
          <w:rFonts w:ascii="Garamond" w:hAnsi="Garamond"/>
          <w:sz w:val="24"/>
          <w:szCs w:val="24"/>
        </w:rPr>
        <w:footnoteReference w:id="13"/>
      </w:r>
      <w:r>
        <w:rPr>
          <w:rFonts w:ascii="Garamond" w:hAnsi="Garamond"/>
          <w:sz w:val="24"/>
          <w:szCs w:val="24"/>
        </w:rPr>
        <w:t xml:space="preserve"> The planning process is completed with the preparation of the annual fiscal framework. The planning phase brings together core macro institutions including National Planning Commission and National Bank of Ethiopia which provide pertinent inputs to the preparation of MEFF. </w:t>
      </w:r>
    </w:p>
    <w:p w:rsidR="001D4C6C" w:rsidRDefault="001D4C6C" w:rsidP="001D4C6C">
      <w:pPr>
        <w:autoSpaceDE w:val="0"/>
        <w:autoSpaceDN w:val="0"/>
        <w:adjustRightInd w:val="0"/>
        <w:spacing w:after="0" w:line="240" w:lineRule="auto"/>
        <w:jc w:val="both"/>
        <w:rPr>
          <w:rFonts w:ascii="Garamond" w:eastAsiaTheme="minorHAnsi" w:hAnsi="Garamond" w:cs="MyriadPro-Regular"/>
          <w:sz w:val="24"/>
          <w:szCs w:val="24"/>
        </w:rPr>
      </w:pPr>
    </w:p>
    <w:p w:rsidR="001D4C6C" w:rsidRDefault="001D4C6C" w:rsidP="001D4C6C">
      <w:pPr>
        <w:autoSpaceDE w:val="0"/>
        <w:autoSpaceDN w:val="0"/>
        <w:adjustRightInd w:val="0"/>
        <w:spacing w:after="0" w:line="240" w:lineRule="auto"/>
        <w:jc w:val="both"/>
        <w:rPr>
          <w:rFonts w:ascii="Garamond" w:hAnsi="Garamond"/>
          <w:sz w:val="24"/>
          <w:szCs w:val="24"/>
        </w:rPr>
      </w:pPr>
      <w:r>
        <w:rPr>
          <w:rFonts w:ascii="Garamond" w:eastAsiaTheme="minorHAnsi" w:hAnsi="Garamond" w:cs="MyriadPro-Regular"/>
          <w:sz w:val="24"/>
          <w:szCs w:val="24"/>
        </w:rPr>
        <w:t xml:space="preserve">The budget process </w:t>
      </w:r>
      <w:r w:rsidRPr="002A4A3C">
        <w:rPr>
          <w:rFonts w:ascii="Garamond" w:eastAsiaTheme="minorHAnsi" w:hAnsi="Garamond" w:cs="MyriadPro-Regular"/>
          <w:sz w:val="24"/>
          <w:szCs w:val="24"/>
        </w:rPr>
        <w:t>is built around the preparation of a five-year macroeconomic fiscal framework (MEFF)</w:t>
      </w:r>
      <w:r>
        <w:rPr>
          <w:rFonts w:ascii="Garamond" w:eastAsiaTheme="minorHAnsi" w:hAnsi="Garamond" w:cs="MyriadPro-Regular"/>
          <w:sz w:val="24"/>
          <w:szCs w:val="24"/>
        </w:rPr>
        <w:t xml:space="preserve"> and is led by the Budget Preparation and Administration </w:t>
      </w:r>
      <w:r w:rsidR="000B4C19">
        <w:rPr>
          <w:rFonts w:ascii="Garamond" w:eastAsiaTheme="minorHAnsi" w:hAnsi="Garamond" w:cs="MyriadPro-Regular"/>
          <w:sz w:val="24"/>
          <w:szCs w:val="24"/>
        </w:rPr>
        <w:t xml:space="preserve">Directorate </w:t>
      </w:r>
      <w:r>
        <w:rPr>
          <w:rFonts w:ascii="Garamond" w:eastAsiaTheme="minorHAnsi" w:hAnsi="Garamond" w:cs="MyriadPro-Regular"/>
          <w:sz w:val="24"/>
          <w:szCs w:val="24"/>
        </w:rPr>
        <w:t>of MoFEC</w:t>
      </w:r>
      <w:r w:rsidRPr="002A4A3C">
        <w:rPr>
          <w:rFonts w:ascii="Garamond" w:eastAsiaTheme="minorHAnsi" w:hAnsi="Garamond" w:cs="MyriadPro-Regular"/>
          <w:sz w:val="24"/>
          <w:szCs w:val="24"/>
        </w:rPr>
        <w:t>.</w:t>
      </w:r>
      <w:r>
        <w:rPr>
          <w:rFonts w:ascii="Garamond" w:eastAsiaTheme="minorHAnsi" w:hAnsi="Garamond" w:cs="MyriadPro-Regular"/>
          <w:sz w:val="24"/>
          <w:szCs w:val="24"/>
        </w:rPr>
        <w:t xml:space="preserve"> </w:t>
      </w:r>
      <w:r>
        <w:rPr>
          <w:rFonts w:ascii="Garamond" w:hAnsi="Garamond"/>
          <w:sz w:val="24"/>
          <w:szCs w:val="24"/>
        </w:rPr>
        <w:t>The budget process consists of the following steps: (i) pre-budget preparation preparedness which relates to links between budget and policy, i.e. plan document (e.g. GTP-II), annual programme budget document including assessment of previous performance, and preparation of preliminary budget based on previous budget allocations;  (ii) Announcement of annual regional general purpose grant to regions, (iii) Issuance of budget call (includes indicati</w:t>
      </w:r>
      <w:r w:rsidR="000B4C19">
        <w:rPr>
          <w:rFonts w:ascii="Garamond" w:hAnsi="Garamond"/>
          <w:sz w:val="24"/>
          <w:szCs w:val="24"/>
        </w:rPr>
        <w:t>ve</w:t>
      </w:r>
      <w:r>
        <w:rPr>
          <w:rFonts w:ascii="Garamond" w:hAnsi="Garamond"/>
          <w:sz w:val="24"/>
          <w:szCs w:val="24"/>
        </w:rPr>
        <w:t xml:space="preserve"> budget ceiling which takes into account the updated MEFF and provides guidelines for sector public institutions), (iv) Budget request by public institutions, (v) Budget hearing, (vi) Budget preparation</w:t>
      </w:r>
      <w:r w:rsidR="000B4C19">
        <w:rPr>
          <w:rFonts w:ascii="Garamond" w:hAnsi="Garamond"/>
          <w:sz w:val="24"/>
          <w:szCs w:val="24"/>
        </w:rPr>
        <w:t xml:space="preserve"> and consolidation</w:t>
      </w:r>
      <w:r>
        <w:rPr>
          <w:rFonts w:ascii="Garamond" w:hAnsi="Garamond"/>
          <w:sz w:val="24"/>
          <w:szCs w:val="24"/>
        </w:rPr>
        <w:t xml:space="preserve">, (vii) Approval by the Council of Ministers, and  (viii) Endorsement by the House of Representatives. </w:t>
      </w:r>
    </w:p>
    <w:p w:rsidR="00AE36A9" w:rsidRDefault="00AE36A9" w:rsidP="001D4C6C">
      <w:pPr>
        <w:autoSpaceDE w:val="0"/>
        <w:autoSpaceDN w:val="0"/>
        <w:adjustRightInd w:val="0"/>
        <w:spacing w:after="0" w:line="240" w:lineRule="auto"/>
        <w:jc w:val="both"/>
        <w:rPr>
          <w:rFonts w:ascii="Garamond" w:hAnsi="Garamond"/>
          <w:sz w:val="24"/>
          <w:szCs w:val="24"/>
        </w:rPr>
      </w:pPr>
    </w:p>
    <w:p w:rsidR="001D4C6C" w:rsidRDefault="001D4C6C" w:rsidP="001D4C6C">
      <w:pPr>
        <w:autoSpaceDE w:val="0"/>
        <w:autoSpaceDN w:val="0"/>
        <w:adjustRightInd w:val="0"/>
        <w:spacing w:after="0" w:line="240" w:lineRule="auto"/>
        <w:jc w:val="both"/>
        <w:rPr>
          <w:rFonts w:ascii="Garamond" w:hAnsi="Garamond"/>
          <w:sz w:val="24"/>
          <w:szCs w:val="24"/>
        </w:rPr>
      </w:pPr>
      <w:r w:rsidRPr="00EF44B3">
        <w:rPr>
          <w:rFonts w:ascii="Garamond" w:hAnsi="Garamond"/>
          <w:sz w:val="24"/>
          <w:szCs w:val="24"/>
        </w:rPr>
        <w:t xml:space="preserve">Around February each year, </w:t>
      </w:r>
      <w:r>
        <w:rPr>
          <w:rFonts w:ascii="Garamond" w:eastAsiaTheme="minorHAnsi" w:hAnsi="Garamond" w:cs="MyriadPro-Regular"/>
          <w:sz w:val="24"/>
          <w:szCs w:val="24"/>
        </w:rPr>
        <w:t>Budget Preparation and Administration</w:t>
      </w:r>
      <w:r w:rsidR="00A530DE">
        <w:rPr>
          <w:rFonts w:ascii="Garamond" w:eastAsiaTheme="minorHAnsi" w:hAnsi="Garamond" w:cs="MyriadPro-Regular"/>
          <w:sz w:val="24"/>
          <w:szCs w:val="24"/>
        </w:rPr>
        <w:t xml:space="preserve"> Directorate </w:t>
      </w:r>
      <w:r>
        <w:rPr>
          <w:rFonts w:ascii="Garamond" w:eastAsiaTheme="minorHAnsi" w:hAnsi="Garamond" w:cs="MyriadPro-Regular"/>
          <w:sz w:val="24"/>
          <w:szCs w:val="24"/>
        </w:rPr>
        <w:t>of MoFEC</w:t>
      </w:r>
      <w:r>
        <w:rPr>
          <w:rFonts w:ascii="Garamond" w:hAnsi="Garamond"/>
          <w:sz w:val="24"/>
          <w:szCs w:val="24"/>
        </w:rPr>
        <w:t xml:space="preserve"> announces budget request call, </w:t>
      </w:r>
      <w:r w:rsidRPr="00EF44B3">
        <w:rPr>
          <w:rFonts w:ascii="Garamond" w:hAnsi="Garamond"/>
          <w:sz w:val="24"/>
          <w:szCs w:val="24"/>
        </w:rPr>
        <w:t xml:space="preserve">providing guidelines for </w:t>
      </w:r>
      <w:r>
        <w:rPr>
          <w:rFonts w:ascii="Garamond" w:hAnsi="Garamond"/>
          <w:sz w:val="24"/>
          <w:szCs w:val="24"/>
        </w:rPr>
        <w:t xml:space="preserve">budget </w:t>
      </w:r>
      <w:r w:rsidRPr="00EF44B3">
        <w:rPr>
          <w:rFonts w:ascii="Garamond" w:hAnsi="Garamond"/>
          <w:sz w:val="24"/>
          <w:szCs w:val="24"/>
        </w:rPr>
        <w:t xml:space="preserve">preparation and instructions for line ministries to allocate resources among various development programmes and projects detailing </w:t>
      </w:r>
      <w:r w:rsidRPr="00EF44B3">
        <w:rPr>
          <w:rFonts w:ascii="Garamond" w:hAnsi="Garamond"/>
          <w:sz w:val="24"/>
          <w:szCs w:val="24"/>
        </w:rPr>
        <w:lastRenderedPageBreak/>
        <w:t>sector priorities,</w:t>
      </w:r>
      <w:r w:rsidR="00A530DE">
        <w:rPr>
          <w:rFonts w:ascii="Garamond" w:hAnsi="Garamond"/>
          <w:sz w:val="24"/>
          <w:szCs w:val="24"/>
        </w:rPr>
        <w:t xml:space="preserve"> </w:t>
      </w:r>
      <w:r w:rsidRPr="00EF44B3">
        <w:rPr>
          <w:rFonts w:ascii="Garamond" w:hAnsi="Garamond"/>
          <w:sz w:val="24"/>
          <w:szCs w:val="24"/>
        </w:rPr>
        <w:t>align</w:t>
      </w:r>
      <w:r w:rsidR="00A530DE">
        <w:rPr>
          <w:rFonts w:ascii="Garamond" w:hAnsi="Garamond"/>
          <w:sz w:val="24"/>
          <w:szCs w:val="24"/>
        </w:rPr>
        <w:t xml:space="preserve">ment </w:t>
      </w:r>
      <w:r w:rsidRPr="00EF44B3">
        <w:rPr>
          <w:rFonts w:ascii="Garamond" w:hAnsi="Garamond"/>
          <w:sz w:val="24"/>
          <w:szCs w:val="24"/>
        </w:rPr>
        <w:t xml:space="preserve">with the national development plan priorities. The guidelines are based on national plans and strategies and are informed by the budgetary ceilings and provisions established in the Budget </w:t>
      </w:r>
      <w:r>
        <w:rPr>
          <w:rFonts w:ascii="Garamond" w:hAnsi="Garamond"/>
          <w:sz w:val="24"/>
          <w:szCs w:val="24"/>
        </w:rPr>
        <w:t>call</w:t>
      </w:r>
      <w:r w:rsidRPr="00EF44B3">
        <w:rPr>
          <w:rFonts w:ascii="Garamond" w:hAnsi="Garamond"/>
          <w:sz w:val="24"/>
          <w:szCs w:val="24"/>
        </w:rPr>
        <w:t>.</w:t>
      </w:r>
    </w:p>
    <w:p w:rsidR="008F1CC2" w:rsidRDefault="008F1CC2" w:rsidP="001D4C6C">
      <w:pPr>
        <w:autoSpaceDE w:val="0"/>
        <w:autoSpaceDN w:val="0"/>
        <w:adjustRightInd w:val="0"/>
        <w:spacing w:after="0" w:line="240" w:lineRule="auto"/>
        <w:jc w:val="both"/>
        <w:rPr>
          <w:rFonts w:ascii="Garamond" w:hAnsi="Garamond"/>
          <w:sz w:val="24"/>
          <w:szCs w:val="24"/>
        </w:rPr>
      </w:pPr>
    </w:p>
    <w:p w:rsidR="001D4C6C" w:rsidRDefault="001D4C6C" w:rsidP="001D4C6C">
      <w:pPr>
        <w:autoSpaceDE w:val="0"/>
        <w:autoSpaceDN w:val="0"/>
        <w:adjustRightInd w:val="0"/>
        <w:spacing w:after="0" w:line="240" w:lineRule="auto"/>
        <w:jc w:val="both"/>
        <w:rPr>
          <w:rFonts w:ascii="Garamond" w:hAnsi="Garamond"/>
          <w:sz w:val="24"/>
          <w:szCs w:val="24"/>
        </w:rPr>
      </w:pPr>
      <w:r w:rsidRPr="00BC2E7C">
        <w:rPr>
          <w:rFonts w:ascii="Garamond" w:hAnsi="Garamond"/>
          <w:sz w:val="24"/>
          <w:szCs w:val="24"/>
        </w:rPr>
        <w:t xml:space="preserve">The budget, in particular </w:t>
      </w:r>
      <w:r w:rsidR="00A530DE">
        <w:rPr>
          <w:rFonts w:ascii="Garamond" w:hAnsi="Garamond"/>
          <w:sz w:val="24"/>
          <w:szCs w:val="24"/>
        </w:rPr>
        <w:t xml:space="preserve">the </w:t>
      </w:r>
      <w:r>
        <w:rPr>
          <w:rFonts w:ascii="Garamond" w:hAnsi="Garamond"/>
          <w:sz w:val="24"/>
          <w:szCs w:val="24"/>
        </w:rPr>
        <w:t xml:space="preserve">consolidated annual budget is </w:t>
      </w:r>
      <w:r w:rsidRPr="00BC2E7C">
        <w:rPr>
          <w:rFonts w:ascii="Garamond" w:hAnsi="Garamond"/>
          <w:sz w:val="24"/>
          <w:szCs w:val="24"/>
        </w:rPr>
        <w:t xml:space="preserve">a vehicle for attaining medium-term and long-term development aspirations of </w:t>
      </w:r>
      <w:r>
        <w:rPr>
          <w:rFonts w:ascii="Garamond" w:hAnsi="Garamond"/>
          <w:sz w:val="24"/>
          <w:szCs w:val="24"/>
        </w:rPr>
        <w:t>the country. But the links between the budget preparation process by MoFEC and the role of NPC is not clear</w:t>
      </w:r>
      <w:r w:rsidRPr="00BC2E7C">
        <w:rPr>
          <w:rFonts w:ascii="Garamond" w:hAnsi="Garamond"/>
          <w:sz w:val="24"/>
          <w:szCs w:val="24"/>
        </w:rPr>
        <w:t xml:space="preserve">. </w:t>
      </w:r>
      <w:r>
        <w:rPr>
          <w:rFonts w:ascii="Garamond" w:hAnsi="Garamond"/>
          <w:sz w:val="24"/>
          <w:szCs w:val="24"/>
        </w:rPr>
        <w:t>While the</w:t>
      </w:r>
      <w:r>
        <w:rPr>
          <w:rFonts w:ascii="Garamond" w:eastAsiaTheme="minorHAnsi" w:hAnsi="Garamond" w:cs="MyriadPro-Regular"/>
          <w:sz w:val="24"/>
          <w:szCs w:val="24"/>
        </w:rPr>
        <w:t xml:space="preserve"> Budget Preparation and Administration </w:t>
      </w:r>
      <w:r w:rsidR="00AE3607">
        <w:rPr>
          <w:rFonts w:ascii="Garamond" w:eastAsiaTheme="minorHAnsi" w:hAnsi="Garamond" w:cs="MyriadPro-Regular"/>
          <w:sz w:val="24"/>
          <w:szCs w:val="24"/>
        </w:rPr>
        <w:t xml:space="preserve">Directorate </w:t>
      </w:r>
      <w:r>
        <w:rPr>
          <w:rFonts w:ascii="Garamond" w:eastAsiaTheme="minorHAnsi" w:hAnsi="Garamond" w:cs="MyriadPro-Regular"/>
          <w:sz w:val="24"/>
          <w:szCs w:val="24"/>
        </w:rPr>
        <w:t>of MoFEC</w:t>
      </w:r>
      <w:r>
        <w:rPr>
          <w:rFonts w:ascii="Garamond" w:hAnsi="Garamond"/>
          <w:sz w:val="24"/>
          <w:szCs w:val="24"/>
        </w:rPr>
        <w:t xml:space="preserve"> directly interacts with sector ministries in the budget process, NPC</w:t>
      </w:r>
      <w:r w:rsidR="005C6722">
        <w:rPr>
          <w:rFonts w:ascii="Garamond" w:hAnsi="Garamond"/>
          <w:sz w:val="24"/>
          <w:szCs w:val="24"/>
        </w:rPr>
        <w:t>,</w:t>
      </w:r>
      <w:r>
        <w:rPr>
          <w:rFonts w:ascii="Garamond" w:hAnsi="Garamond"/>
          <w:sz w:val="24"/>
          <w:szCs w:val="24"/>
        </w:rPr>
        <w:t xml:space="preserve"> as a coordinator of the overall plan preparation and follow up</w:t>
      </w:r>
      <w:r w:rsidR="005C6722">
        <w:rPr>
          <w:rFonts w:ascii="Garamond" w:hAnsi="Garamond"/>
          <w:sz w:val="24"/>
          <w:szCs w:val="24"/>
        </w:rPr>
        <w:t>,</w:t>
      </w:r>
      <w:r>
        <w:rPr>
          <w:rFonts w:ascii="Garamond" w:hAnsi="Garamond"/>
          <w:sz w:val="24"/>
          <w:szCs w:val="24"/>
        </w:rPr>
        <w:t xml:space="preserve"> doesn’t seem to play any significant role. For instance, sector ministries are requested to submit to MoFEC their previous year performance assessments together with subsequent plans. On the other hand, NPC prepares annual progress report</w:t>
      </w:r>
      <w:r w:rsidR="00F259B8">
        <w:rPr>
          <w:rFonts w:ascii="Garamond" w:hAnsi="Garamond"/>
          <w:sz w:val="24"/>
          <w:szCs w:val="24"/>
        </w:rPr>
        <w:t xml:space="preserve"> (only physical activities)</w:t>
      </w:r>
      <w:r>
        <w:rPr>
          <w:rFonts w:ascii="Garamond" w:hAnsi="Garamond"/>
          <w:sz w:val="24"/>
          <w:szCs w:val="24"/>
        </w:rPr>
        <w:t xml:space="preserve">, but this information seems to be of little use in the budget process. </w:t>
      </w:r>
    </w:p>
    <w:p w:rsidR="00905DB7" w:rsidRDefault="00905DB7" w:rsidP="001D4C6C">
      <w:pPr>
        <w:autoSpaceDE w:val="0"/>
        <w:autoSpaceDN w:val="0"/>
        <w:adjustRightInd w:val="0"/>
        <w:spacing w:after="0" w:line="240" w:lineRule="auto"/>
        <w:jc w:val="both"/>
        <w:rPr>
          <w:rFonts w:ascii="Garamond" w:hAnsi="Garamond"/>
          <w:sz w:val="24"/>
          <w:szCs w:val="24"/>
        </w:rPr>
      </w:pPr>
    </w:p>
    <w:p w:rsidR="001D4C6C" w:rsidRDefault="00905DB7" w:rsidP="001D4C6C">
      <w:pPr>
        <w:autoSpaceDE w:val="0"/>
        <w:autoSpaceDN w:val="0"/>
        <w:adjustRightInd w:val="0"/>
        <w:spacing w:after="0" w:line="240" w:lineRule="auto"/>
        <w:jc w:val="both"/>
        <w:rPr>
          <w:rFonts w:ascii="Garamond" w:hAnsi="Garamond"/>
          <w:sz w:val="24"/>
          <w:szCs w:val="24"/>
        </w:rPr>
      </w:pPr>
      <w:r>
        <w:rPr>
          <w:rFonts w:ascii="Garamond" w:hAnsi="Garamond"/>
          <w:sz w:val="24"/>
          <w:szCs w:val="24"/>
        </w:rPr>
        <w:t>The monitoring and evaluation (M&amp;E) of budget utilization is built in the budget process as each beneficiary public institution is required to submit performance report (including quarterly and annual reports) that shows both physical performance and budget utilization.</w:t>
      </w:r>
      <w:r w:rsidR="006773B8">
        <w:rPr>
          <w:rFonts w:ascii="Garamond" w:hAnsi="Garamond"/>
          <w:sz w:val="24"/>
          <w:szCs w:val="24"/>
        </w:rPr>
        <w:t xml:space="preserve"> </w:t>
      </w:r>
      <w:r w:rsidR="009A47B0">
        <w:rPr>
          <w:rFonts w:ascii="Garamond" w:hAnsi="Garamond"/>
          <w:sz w:val="24"/>
          <w:szCs w:val="24"/>
        </w:rPr>
        <w:t xml:space="preserve">To maintain uniformity across public institutions, </w:t>
      </w:r>
      <w:r w:rsidR="006773B8">
        <w:rPr>
          <w:rFonts w:ascii="Garamond" w:hAnsi="Garamond"/>
          <w:sz w:val="24"/>
          <w:szCs w:val="24"/>
        </w:rPr>
        <w:t xml:space="preserve">MoFEC has designed a reporting template that guides </w:t>
      </w:r>
      <w:r w:rsidR="005564E0">
        <w:rPr>
          <w:rFonts w:ascii="Garamond" w:hAnsi="Garamond"/>
          <w:sz w:val="24"/>
          <w:szCs w:val="24"/>
        </w:rPr>
        <w:t xml:space="preserve">the </w:t>
      </w:r>
      <w:r w:rsidR="006773B8">
        <w:rPr>
          <w:rFonts w:ascii="Garamond" w:hAnsi="Garamond"/>
          <w:sz w:val="24"/>
          <w:szCs w:val="24"/>
        </w:rPr>
        <w:t>preparation of performance report</w:t>
      </w:r>
      <w:r w:rsidR="009A47B0">
        <w:rPr>
          <w:rFonts w:ascii="Garamond" w:hAnsi="Garamond"/>
          <w:sz w:val="24"/>
          <w:szCs w:val="24"/>
        </w:rPr>
        <w:t>s</w:t>
      </w:r>
      <w:r w:rsidR="006773B8">
        <w:rPr>
          <w:rFonts w:ascii="Garamond" w:hAnsi="Garamond"/>
          <w:sz w:val="24"/>
          <w:szCs w:val="24"/>
        </w:rPr>
        <w:t xml:space="preserve">. </w:t>
      </w:r>
      <w:r w:rsidR="00AA18DD">
        <w:rPr>
          <w:rFonts w:ascii="Garamond" w:hAnsi="Garamond"/>
          <w:sz w:val="24"/>
          <w:szCs w:val="24"/>
        </w:rPr>
        <w:t xml:space="preserve">However, it is not clear to what extent MoFEC uses performance reports submitted by public institutions in its subsequent budget preparation efforts. </w:t>
      </w:r>
      <w:r w:rsidR="00152860">
        <w:rPr>
          <w:rFonts w:ascii="Garamond" w:hAnsi="Garamond"/>
          <w:sz w:val="24"/>
          <w:szCs w:val="24"/>
        </w:rPr>
        <w:t>Discussions with stakeholders indicate that t</w:t>
      </w:r>
      <w:r w:rsidR="001D4C6C" w:rsidRPr="00781EDF">
        <w:rPr>
          <w:rFonts w:ascii="Garamond" w:hAnsi="Garamond"/>
          <w:sz w:val="24"/>
          <w:szCs w:val="24"/>
        </w:rPr>
        <w:t xml:space="preserve">here is </w:t>
      </w:r>
      <w:r w:rsidR="00650AB5">
        <w:rPr>
          <w:rFonts w:ascii="Garamond" w:hAnsi="Garamond"/>
          <w:sz w:val="24"/>
          <w:szCs w:val="24"/>
        </w:rPr>
        <w:t xml:space="preserve">a </w:t>
      </w:r>
      <w:r w:rsidR="001D4C6C" w:rsidRPr="00781EDF">
        <w:rPr>
          <w:rFonts w:ascii="Garamond" w:hAnsi="Garamond"/>
          <w:sz w:val="24"/>
          <w:szCs w:val="24"/>
        </w:rPr>
        <w:t>room for improving the operational efficiency of the budget</w:t>
      </w:r>
      <w:r w:rsidR="001D4C6C">
        <w:rPr>
          <w:rFonts w:ascii="Garamond" w:hAnsi="Garamond"/>
          <w:sz w:val="24"/>
          <w:szCs w:val="24"/>
        </w:rPr>
        <w:t xml:space="preserve">, especially the execution of investment projects as they </w:t>
      </w:r>
      <w:r w:rsidR="001D4C6C" w:rsidRPr="00781EDF">
        <w:rPr>
          <w:rFonts w:ascii="Garamond" w:hAnsi="Garamond"/>
          <w:sz w:val="24"/>
          <w:szCs w:val="24"/>
        </w:rPr>
        <w:t>take more time than envisaged</w:t>
      </w:r>
      <w:r w:rsidR="00547989">
        <w:rPr>
          <w:rFonts w:ascii="Garamond" w:hAnsi="Garamond"/>
          <w:sz w:val="24"/>
          <w:szCs w:val="24"/>
        </w:rPr>
        <w:t>. T</w:t>
      </w:r>
      <w:r w:rsidR="001D4C6C" w:rsidRPr="00781EDF">
        <w:rPr>
          <w:rFonts w:ascii="Garamond" w:hAnsi="Garamond"/>
          <w:sz w:val="24"/>
          <w:szCs w:val="24"/>
        </w:rPr>
        <w:t xml:space="preserve">here are </w:t>
      </w:r>
      <w:r w:rsidR="001D4C6C">
        <w:rPr>
          <w:rFonts w:ascii="Garamond" w:hAnsi="Garamond"/>
          <w:sz w:val="24"/>
          <w:szCs w:val="24"/>
        </w:rPr>
        <w:t xml:space="preserve">also </w:t>
      </w:r>
      <w:r w:rsidR="001D4C6C" w:rsidRPr="00781EDF">
        <w:rPr>
          <w:rFonts w:ascii="Garamond" w:hAnsi="Garamond"/>
          <w:sz w:val="24"/>
          <w:szCs w:val="24"/>
        </w:rPr>
        <w:t xml:space="preserve">cost </w:t>
      </w:r>
      <w:r w:rsidR="001D4C6C">
        <w:rPr>
          <w:rFonts w:ascii="Garamond" w:hAnsi="Garamond"/>
          <w:sz w:val="24"/>
          <w:szCs w:val="24"/>
        </w:rPr>
        <w:t xml:space="preserve">and </w:t>
      </w:r>
      <w:r w:rsidR="001D4C6C" w:rsidRPr="00781EDF">
        <w:rPr>
          <w:rFonts w:ascii="Garamond" w:hAnsi="Garamond"/>
          <w:sz w:val="24"/>
          <w:szCs w:val="24"/>
        </w:rPr>
        <w:t xml:space="preserve">delays </w:t>
      </w:r>
      <w:r w:rsidR="001D4C6C">
        <w:rPr>
          <w:rFonts w:ascii="Garamond" w:hAnsi="Garamond"/>
          <w:sz w:val="24"/>
          <w:szCs w:val="24"/>
        </w:rPr>
        <w:t xml:space="preserve">which </w:t>
      </w:r>
      <w:r w:rsidR="001D4C6C" w:rsidRPr="00781EDF">
        <w:rPr>
          <w:rFonts w:ascii="Garamond" w:hAnsi="Garamond"/>
          <w:sz w:val="24"/>
          <w:szCs w:val="24"/>
        </w:rPr>
        <w:t>undermine the economic returns to investment and postpone the envisioned benefits further into the future</w:t>
      </w:r>
      <w:r w:rsidR="001D4C6C">
        <w:rPr>
          <w:rFonts w:ascii="Garamond" w:hAnsi="Garamond"/>
          <w:sz w:val="24"/>
          <w:szCs w:val="24"/>
        </w:rPr>
        <w:t xml:space="preserve">. This requires strong monitoring and evaluation system and enforce accountability. </w:t>
      </w:r>
    </w:p>
    <w:p w:rsidR="001D4C6C" w:rsidRDefault="001D4C6C">
      <w:pPr>
        <w:spacing w:after="160" w:line="259" w:lineRule="auto"/>
        <w:rPr>
          <w:rFonts w:ascii="Garamond" w:hAnsi="Garamond"/>
          <w:lang w:val="en-GB" w:eastAsia="en-GB"/>
        </w:rPr>
      </w:pPr>
      <w:r>
        <w:rPr>
          <w:rFonts w:ascii="Garamond" w:hAnsi="Garamond"/>
          <w:lang w:val="en-GB" w:eastAsia="en-GB"/>
        </w:rPr>
        <w:br w:type="page"/>
      </w:r>
    </w:p>
    <w:p w:rsidR="008046F4" w:rsidRPr="006B3CC7" w:rsidRDefault="00724B0C" w:rsidP="006B3CC7">
      <w:pPr>
        <w:pStyle w:val="Heading1"/>
        <w:jc w:val="center"/>
        <w:rPr>
          <w:rFonts w:ascii="Garamond" w:hAnsi="Garamond"/>
          <w:b/>
          <w:sz w:val="24"/>
          <w:szCs w:val="24"/>
          <w:lang w:val="en-GB"/>
        </w:rPr>
      </w:pPr>
      <w:bookmarkStart w:id="47" w:name="_Toc486782268"/>
      <w:r w:rsidRPr="006B3CC7">
        <w:rPr>
          <w:rFonts w:ascii="Garamond" w:hAnsi="Garamond"/>
          <w:b/>
          <w:sz w:val="24"/>
          <w:szCs w:val="24"/>
          <w:lang w:val="en-GB"/>
        </w:rPr>
        <w:lastRenderedPageBreak/>
        <w:t>5. Domestic f</w:t>
      </w:r>
      <w:r w:rsidR="008046F4" w:rsidRPr="006B3CC7">
        <w:rPr>
          <w:rFonts w:ascii="Garamond" w:hAnsi="Garamond"/>
          <w:b/>
          <w:sz w:val="24"/>
          <w:szCs w:val="24"/>
          <w:lang w:val="en-GB"/>
        </w:rPr>
        <w:t>inanc</w:t>
      </w:r>
      <w:r w:rsidRPr="006B3CC7">
        <w:rPr>
          <w:rFonts w:ascii="Garamond" w:hAnsi="Garamond"/>
          <w:b/>
          <w:sz w:val="24"/>
          <w:szCs w:val="24"/>
          <w:lang w:val="en-GB"/>
        </w:rPr>
        <w:t xml:space="preserve">e: </w:t>
      </w:r>
      <w:r w:rsidR="00AE3607" w:rsidRPr="006B3CC7">
        <w:rPr>
          <w:rFonts w:ascii="Garamond" w:hAnsi="Garamond"/>
          <w:b/>
          <w:sz w:val="24"/>
          <w:szCs w:val="24"/>
          <w:lang w:val="en-GB"/>
        </w:rPr>
        <w:t>Analysis of i</w:t>
      </w:r>
      <w:r w:rsidRPr="006B3CC7">
        <w:rPr>
          <w:rFonts w:ascii="Garamond" w:hAnsi="Garamond"/>
          <w:b/>
          <w:sz w:val="24"/>
          <w:szCs w:val="24"/>
          <w:lang w:val="en-GB"/>
        </w:rPr>
        <w:t xml:space="preserve">nstitutional and </w:t>
      </w:r>
      <w:r w:rsidR="005E2352" w:rsidRPr="006B3CC7">
        <w:rPr>
          <w:rFonts w:ascii="Garamond" w:hAnsi="Garamond"/>
          <w:b/>
          <w:sz w:val="24"/>
          <w:szCs w:val="24"/>
          <w:lang w:val="en-GB"/>
        </w:rPr>
        <w:t>p</w:t>
      </w:r>
      <w:r w:rsidRPr="006B3CC7">
        <w:rPr>
          <w:rFonts w:ascii="Garamond" w:hAnsi="Garamond"/>
          <w:b/>
          <w:sz w:val="24"/>
          <w:szCs w:val="24"/>
          <w:lang w:val="en-GB"/>
        </w:rPr>
        <w:t xml:space="preserve">olicy </w:t>
      </w:r>
      <w:r w:rsidR="005E2352" w:rsidRPr="006B3CC7">
        <w:rPr>
          <w:rFonts w:ascii="Garamond" w:hAnsi="Garamond"/>
          <w:b/>
          <w:sz w:val="24"/>
          <w:szCs w:val="24"/>
          <w:lang w:val="en-GB"/>
        </w:rPr>
        <w:t>c</w:t>
      </w:r>
      <w:r w:rsidRPr="006B3CC7">
        <w:rPr>
          <w:rFonts w:ascii="Garamond" w:hAnsi="Garamond"/>
          <w:b/>
          <w:sz w:val="24"/>
          <w:szCs w:val="24"/>
          <w:lang w:val="en-GB"/>
        </w:rPr>
        <w:t>ontext</w:t>
      </w:r>
      <w:bookmarkEnd w:id="47"/>
    </w:p>
    <w:p w:rsidR="00724B0C" w:rsidRDefault="00724B0C" w:rsidP="00724B0C">
      <w:pPr>
        <w:spacing w:after="0" w:line="240" w:lineRule="auto"/>
        <w:jc w:val="both"/>
        <w:rPr>
          <w:rFonts w:ascii="Garamond" w:hAnsi="Garamond"/>
          <w:sz w:val="24"/>
          <w:szCs w:val="24"/>
        </w:rPr>
      </w:pPr>
    </w:p>
    <w:p w:rsidR="00724B0C" w:rsidRDefault="00724B0C" w:rsidP="00216DC2">
      <w:pPr>
        <w:autoSpaceDE w:val="0"/>
        <w:autoSpaceDN w:val="0"/>
        <w:adjustRightInd w:val="0"/>
        <w:spacing w:after="0" w:line="240" w:lineRule="auto"/>
        <w:jc w:val="both"/>
        <w:rPr>
          <w:rFonts w:ascii="Garamond" w:hAnsi="Garamond"/>
          <w:sz w:val="24"/>
          <w:szCs w:val="24"/>
        </w:rPr>
      </w:pPr>
      <w:r w:rsidRPr="00ED5757">
        <w:rPr>
          <w:rFonts w:ascii="Garamond" w:hAnsi="Garamond"/>
          <w:sz w:val="24"/>
          <w:szCs w:val="24"/>
        </w:rPr>
        <w:t>T</w:t>
      </w:r>
      <w:r>
        <w:rPr>
          <w:rFonts w:ascii="Garamond" w:hAnsi="Garamond"/>
          <w:sz w:val="24"/>
          <w:szCs w:val="24"/>
        </w:rPr>
        <w:t>h</w:t>
      </w:r>
      <w:r w:rsidRPr="00ED5757">
        <w:rPr>
          <w:rFonts w:ascii="Garamond" w:hAnsi="Garamond"/>
          <w:sz w:val="24"/>
          <w:szCs w:val="24"/>
        </w:rPr>
        <w:t xml:space="preserve">ere is no doubt that </w:t>
      </w:r>
      <w:r>
        <w:rPr>
          <w:rFonts w:ascii="Garamond" w:hAnsi="Garamond"/>
          <w:sz w:val="24"/>
          <w:szCs w:val="24"/>
        </w:rPr>
        <w:t>financial and non-financial support remain crucial in successfully</w:t>
      </w:r>
      <w:r w:rsidRPr="00ED5757">
        <w:rPr>
          <w:rFonts w:ascii="Garamond" w:hAnsi="Garamond"/>
          <w:sz w:val="24"/>
          <w:szCs w:val="24"/>
        </w:rPr>
        <w:t xml:space="preserve"> implementing</w:t>
      </w:r>
      <w:r>
        <w:rPr>
          <w:rFonts w:ascii="Garamond" w:hAnsi="Garamond"/>
          <w:sz w:val="24"/>
          <w:szCs w:val="24"/>
        </w:rPr>
        <w:t xml:space="preserve"> sustainable development initiatives. In particular, achieving the 2030 Agenda will require </w:t>
      </w:r>
      <w:r w:rsidRPr="00ED5757">
        <w:rPr>
          <w:rFonts w:ascii="Garamond" w:hAnsi="Garamond"/>
          <w:sz w:val="24"/>
          <w:szCs w:val="24"/>
        </w:rPr>
        <w:t>commensurate f</w:t>
      </w:r>
      <w:r>
        <w:rPr>
          <w:rFonts w:ascii="Garamond" w:hAnsi="Garamond"/>
          <w:sz w:val="24"/>
          <w:szCs w:val="24"/>
        </w:rPr>
        <w:t>i</w:t>
      </w:r>
      <w:r w:rsidRPr="00ED5757">
        <w:rPr>
          <w:rFonts w:ascii="Garamond" w:hAnsi="Garamond"/>
          <w:sz w:val="24"/>
          <w:szCs w:val="24"/>
        </w:rPr>
        <w:t>nancial and technological resources. T</w:t>
      </w:r>
      <w:r>
        <w:rPr>
          <w:rFonts w:ascii="Garamond" w:hAnsi="Garamond"/>
          <w:sz w:val="24"/>
          <w:szCs w:val="24"/>
        </w:rPr>
        <w:t>h</w:t>
      </w:r>
      <w:r w:rsidRPr="00ED5757">
        <w:rPr>
          <w:rFonts w:ascii="Garamond" w:hAnsi="Garamond"/>
          <w:sz w:val="24"/>
          <w:szCs w:val="24"/>
        </w:rPr>
        <w:t>e Addis Agenda outlines a comprehensive f</w:t>
      </w:r>
      <w:r>
        <w:rPr>
          <w:rFonts w:ascii="Garamond" w:hAnsi="Garamond"/>
          <w:sz w:val="24"/>
          <w:szCs w:val="24"/>
        </w:rPr>
        <w:t>i</w:t>
      </w:r>
      <w:r w:rsidRPr="00ED5757">
        <w:rPr>
          <w:rFonts w:ascii="Garamond" w:hAnsi="Garamond"/>
          <w:sz w:val="24"/>
          <w:szCs w:val="24"/>
        </w:rPr>
        <w:t xml:space="preserve">nancing framework to </w:t>
      </w:r>
      <w:r w:rsidR="00FE69F9">
        <w:rPr>
          <w:rFonts w:ascii="Garamond" w:hAnsi="Garamond"/>
          <w:sz w:val="24"/>
          <w:szCs w:val="24"/>
        </w:rPr>
        <w:t xml:space="preserve">implement </w:t>
      </w:r>
      <w:r w:rsidRPr="00ED5757">
        <w:rPr>
          <w:rFonts w:ascii="Garamond" w:hAnsi="Garamond"/>
          <w:sz w:val="24"/>
          <w:szCs w:val="24"/>
        </w:rPr>
        <w:t>the 2030 Agenda</w:t>
      </w:r>
      <w:r>
        <w:rPr>
          <w:rFonts w:ascii="Garamond" w:hAnsi="Garamond"/>
          <w:sz w:val="24"/>
          <w:szCs w:val="24"/>
        </w:rPr>
        <w:t xml:space="preserve">. </w:t>
      </w:r>
      <w:r w:rsidR="00684C15" w:rsidRPr="00DF5380">
        <w:rPr>
          <w:rFonts w:ascii="Garamond" w:hAnsi="Garamond"/>
          <w:sz w:val="24"/>
          <w:szCs w:val="24"/>
        </w:rPr>
        <w:t>Mobilizing domestic resources to increase financing for development through enhancing</w:t>
      </w:r>
      <w:r w:rsidR="00684C15">
        <w:rPr>
          <w:rFonts w:ascii="Garamond" w:hAnsi="Garamond"/>
          <w:sz w:val="24"/>
          <w:szCs w:val="24"/>
        </w:rPr>
        <w:t xml:space="preserve"> </w:t>
      </w:r>
      <w:r w:rsidR="00684C15" w:rsidRPr="00DF5380">
        <w:rPr>
          <w:rFonts w:ascii="Garamond" w:hAnsi="Garamond"/>
          <w:sz w:val="24"/>
          <w:szCs w:val="24"/>
        </w:rPr>
        <w:t>tax revenues, rationalizing subsidy programmes, developing deeper capital markets and preventing illicit capital flows are examples of improving the prospects of adequate availability of financ</w:t>
      </w:r>
      <w:r w:rsidR="00684C15">
        <w:rPr>
          <w:rFonts w:ascii="Garamond" w:hAnsi="Garamond"/>
          <w:sz w:val="24"/>
          <w:szCs w:val="24"/>
        </w:rPr>
        <w:t>e</w:t>
      </w:r>
      <w:r w:rsidR="00684C15" w:rsidRPr="00DF5380">
        <w:rPr>
          <w:rFonts w:ascii="Garamond" w:hAnsi="Garamond"/>
          <w:sz w:val="24"/>
          <w:szCs w:val="24"/>
        </w:rPr>
        <w:t xml:space="preserve"> for development. </w:t>
      </w:r>
      <w:r w:rsidR="00684C15" w:rsidRPr="00A44028">
        <w:rPr>
          <w:rFonts w:ascii="Garamond" w:hAnsi="Garamond"/>
          <w:sz w:val="24"/>
          <w:szCs w:val="24"/>
        </w:rPr>
        <w:t xml:space="preserve">The </w:t>
      </w:r>
      <w:r w:rsidR="00684C15">
        <w:rPr>
          <w:rFonts w:ascii="Garamond" w:hAnsi="Garamond"/>
          <w:sz w:val="24"/>
          <w:szCs w:val="24"/>
        </w:rPr>
        <w:t xml:space="preserve">AAAA encourages  countries </w:t>
      </w:r>
      <w:r w:rsidR="00684C15" w:rsidRPr="00A44028">
        <w:rPr>
          <w:rFonts w:ascii="Garamond" w:hAnsi="Garamond"/>
          <w:sz w:val="24"/>
          <w:szCs w:val="24"/>
        </w:rPr>
        <w:t>to  strengthening  domestic  resource  mobilization, continuing international cooperation on tax,  improving domestic tax policies administration systems and better collection of revenues and statistics, and combating illicit financial flows (SDG 17</w:t>
      </w:r>
      <w:r w:rsidR="00684C15">
        <w:rPr>
          <w:rFonts w:ascii="Garamond" w:hAnsi="Garamond"/>
          <w:sz w:val="24"/>
          <w:szCs w:val="24"/>
        </w:rPr>
        <w:t>;</w:t>
      </w:r>
      <w:r w:rsidR="00684C15" w:rsidRPr="00A44028">
        <w:rPr>
          <w:rFonts w:ascii="Garamond" w:hAnsi="Garamond"/>
          <w:sz w:val="24"/>
          <w:szCs w:val="24"/>
        </w:rPr>
        <w:t xml:space="preserve"> AAAA paras 22, 23).</w:t>
      </w:r>
      <w:r w:rsidR="00216DC2">
        <w:rPr>
          <w:rFonts w:ascii="Garamond" w:hAnsi="Garamond"/>
          <w:sz w:val="24"/>
          <w:szCs w:val="24"/>
        </w:rPr>
        <w:t xml:space="preserve"> </w:t>
      </w:r>
      <w:r w:rsidR="00684C15" w:rsidRPr="00724B0C">
        <w:rPr>
          <w:rFonts w:ascii="Garamond" w:hAnsi="Garamond"/>
          <w:sz w:val="24"/>
          <w:szCs w:val="24"/>
        </w:rPr>
        <w:t xml:space="preserve">Domestic resource mobilization </w:t>
      </w:r>
      <w:r w:rsidR="00684C15">
        <w:rPr>
          <w:rFonts w:ascii="Garamond" w:hAnsi="Garamond"/>
          <w:sz w:val="24"/>
          <w:szCs w:val="24"/>
        </w:rPr>
        <w:t xml:space="preserve">needs to be a </w:t>
      </w:r>
      <w:r w:rsidR="00684C15" w:rsidRPr="00724B0C">
        <w:rPr>
          <w:rFonts w:ascii="Garamond" w:hAnsi="Garamond"/>
          <w:sz w:val="24"/>
          <w:szCs w:val="24"/>
        </w:rPr>
        <w:t xml:space="preserve">priority for </w:t>
      </w:r>
      <w:r w:rsidR="00684C15">
        <w:rPr>
          <w:rFonts w:ascii="Garamond" w:hAnsi="Garamond"/>
          <w:sz w:val="24"/>
          <w:szCs w:val="24"/>
        </w:rPr>
        <w:t xml:space="preserve">Ethiopia </w:t>
      </w:r>
      <w:r w:rsidR="00684C15" w:rsidRPr="00724B0C">
        <w:rPr>
          <w:rFonts w:ascii="Garamond" w:hAnsi="Garamond"/>
          <w:sz w:val="24"/>
          <w:szCs w:val="24"/>
        </w:rPr>
        <w:t xml:space="preserve">in the context of the </w:t>
      </w:r>
      <w:r w:rsidR="00684C15">
        <w:rPr>
          <w:rFonts w:ascii="Garamond" w:hAnsi="Garamond"/>
          <w:sz w:val="24"/>
          <w:szCs w:val="24"/>
        </w:rPr>
        <w:t>national integrated fiscal framework (NIFF) financing strategy as articulated in the AAAA</w:t>
      </w:r>
      <w:r w:rsidR="00684C15" w:rsidRPr="00724B0C">
        <w:rPr>
          <w:rFonts w:ascii="Garamond" w:hAnsi="Garamond"/>
          <w:sz w:val="24"/>
          <w:szCs w:val="24"/>
        </w:rPr>
        <w:t>.</w:t>
      </w:r>
      <w:r w:rsidR="00684C15" w:rsidRPr="00684C15">
        <w:rPr>
          <w:rFonts w:ascii="Garamond" w:hAnsi="Garamond"/>
          <w:sz w:val="24"/>
          <w:szCs w:val="24"/>
        </w:rPr>
        <w:t xml:space="preserve"> </w:t>
      </w:r>
      <w:r w:rsidR="00FE69F9">
        <w:rPr>
          <w:rFonts w:ascii="Garamond" w:hAnsi="Garamond"/>
          <w:sz w:val="24"/>
          <w:szCs w:val="24"/>
        </w:rPr>
        <w:t>Given its low revenue as a share of GDP and uncertainty on external financial flows, i</w:t>
      </w:r>
      <w:r w:rsidRPr="00724B0C">
        <w:rPr>
          <w:rFonts w:ascii="Garamond" w:hAnsi="Garamond"/>
          <w:sz w:val="24"/>
          <w:szCs w:val="24"/>
        </w:rPr>
        <w:t xml:space="preserve">ncreasing domestic resources is a key issue for </w:t>
      </w:r>
      <w:r w:rsidR="00FE69F9">
        <w:rPr>
          <w:rFonts w:ascii="Garamond" w:hAnsi="Garamond"/>
          <w:sz w:val="24"/>
          <w:szCs w:val="24"/>
        </w:rPr>
        <w:t>Ethiopia. Note that achieving s</w:t>
      </w:r>
      <w:r w:rsidRPr="00724B0C">
        <w:rPr>
          <w:rFonts w:ascii="Garamond" w:hAnsi="Garamond"/>
          <w:sz w:val="24"/>
          <w:szCs w:val="24"/>
        </w:rPr>
        <w:t>ustainable development will depend not just on the expansion of domestic finance but also on the achievement of substantial improvements in the efficiency of public expenditures.</w:t>
      </w:r>
    </w:p>
    <w:p w:rsidR="00ED5757" w:rsidRDefault="00687920" w:rsidP="007C4F08">
      <w:pPr>
        <w:autoSpaceDE w:val="0"/>
        <w:autoSpaceDN w:val="0"/>
        <w:adjustRightInd w:val="0"/>
        <w:spacing w:after="0" w:line="240" w:lineRule="auto"/>
        <w:jc w:val="both"/>
        <w:rPr>
          <w:rFonts w:ascii="Garamond" w:hAnsi="Garamond"/>
          <w:sz w:val="24"/>
          <w:szCs w:val="24"/>
        </w:rPr>
      </w:pPr>
      <w:r w:rsidRPr="00687920">
        <w:rPr>
          <w:rFonts w:ascii="Garamond" w:hAnsi="Garamond"/>
          <w:sz w:val="24"/>
          <w:szCs w:val="24"/>
        </w:rPr>
        <w:t>This section focuses o</w:t>
      </w:r>
      <w:r w:rsidR="00CA590C">
        <w:rPr>
          <w:rFonts w:ascii="Garamond" w:hAnsi="Garamond"/>
          <w:sz w:val="24"/>
          <w:szCs w:val="24"/>
        </w:rPr>
        <w:t xml:space="preserve">n the following issues: (i) </w:t>
      </w:r>
      <w:r w:rsidR="0050113F">
        <w:rPr>
          <w:rFonts w:ascii="Garamond" w:hAnsi="Garamond"/>
          <w:sz w:val="24"/>
          <w:szCs w:val="24"/>
        </w:rPr>
        <w:t>Tax and non-tax revenues</w:t>
      </w:r>
      <w:r w:rsidRPr="00687920">
        <w:rPr>
          <w:rFonts w:ascii="Garamond" w:hAnsi="Garamond"/>
          <w:sz w:val="24"/>
          <w:szCs w:val="24"/>
        </w:rPr>
        <w:t xml:space="preserve"> (ii) </w:t>
      </w:r>
      <w:r w:rsidR="006E5B51">
        <w:rPr>
          <w:rFonts w:ascii="Garamond" w:hAnsi="Garamond"/>
          <w:sz w:val="24"/>
          <w:szCs w:val="24"/>
        </w:rPr>
        <w:t xml:space="preserve">Supply of finance with </w:t>
      </w:r>
      <w:r w:rsidR="000A1089">
        <w:rPr>
          <w:rFonts w:ascii="Garamond" w:hAnsi="Garamond"/>
          <w:sz w:val="24"/>
          <w:szCs w:val="24"/>
        </w:rPr>
        <w:t>banks</w:t>
      </w:r>
      <w:r w:rsidR="006E5B51">
        <w:rPr>
          <w:rFonts w:ascii="Garamond" w:hAnsi="Garamond"/>
          <w:sz w:val="24"/>
          <w:szCs w:val="24"/>
        </w:rPr>
        <w:t xml:space="preserve"> and outside banks</w:t>
      </w:r>
      <w:r w:rsidRPr="00687920">
        <w:rPr>
          <w:rFonts w:ascii="Garamond" w:hAnsi="Garamond"/>
          <w:sz w:val="24"/>
          <w:szCs w:val="24"/>
        </w:rPr>
        <w:t xml:space="preserve">; (iii) </w:t>
      </w:r>
      <w:r w:rsidR="005B51D8">
        <w:rPr>
          <w:rFonts w:ascii="Garamond" w:hAnsi="Garamond"/>
          <w:sz w:val="24"/>
          <w:szCs w:val="24"/>
        </w:rPr>
        <w:t xml:space="preserve">Domestic private finance; (iv) </w:t>
      </w:r>
      <w:r w:rsidRPr="00687920">
        <w:rPr>
          <w:rFonts w:ascii="Garamond" w:hAnsi="Garamond"/>
          <w:sz w:val="24"/>
          <w:szCs w:val="24"/>
        </w:rPr>
        <w:t>P</w:t>
      </w:r>
      <w:r w:rsidR="006E5B51">
        <w:rPr>
          <w:rFonts w:ascii="Garamond" w:hAnsi="Garamond"/>
          <w:sz w:val="24"/>
          <w:szCs w:val="24"/>
        </w:rPr>
        <w:t>ublic-</w:t>
      </w:r>
      <w:r w:rsidRPr="00687920">
        <w:rPr>
          <w:rFonts w:ascii="Garamond" w:hAnsi="Garamond"/>
          <w:sz w:val="24"/>
          <w:szCs w:val="24"/>
        </w:rPr>
        <w:t>P</w:t>
      </w:r>
      <w:r w:rsidR="006E5B51">
        <w:rPr>
          <w:rFonts w:ascii="Garamond" w:hAnsi="Garamond"/>
          <w:sz w:val="24"/>
          <w:szCs w:val="24"/>
        </w:rPr>
        <w:t xml:space="preserve">rivate </w:t>
      </w:r>
      <w:r w:rsidR="006E5B51" w:rsidRPr="00687920">
        <w:rPr>
          <w:rFonts w:ascii="Garamond" w:hAnsi="Garamond"/>
          <w:sz w:val="24"/>
          <w:szCs w:val="24"/>
        </w:rPr>
        <w:t>P</w:t>
      </w:r>
      <w:r w:rsidR="006E5B51">
        <w:rPr>
          <w:rFonts w:ascii="Garamond" w:hAnsi="Garamond"/>
          <w:sz w:val="24"/>
          <w:szCs w:val="24"/>
        </w:rPr>
        <w:t>artnerships (PPPs)</w:t>
      </w:r>
      <w:r w:rsidRPr="00687920">
        <w:rPr>
          <w:rFonts w:ascii="Garamond" w:hAnsi="Garamond"/>
          <w:sz w:val="24"/>
          <w:szCs w:val="24"/>
        </w:rPr>
        <w:t>; (v) inclusive business finance</w:t>
      </w:r>
      <w:r w:rsidR="007C4F08" w:rsidRPr="00687920">
        <w:rPr>
          <w:rFonts w:ascii="Garamond" w:hAnsi="Garamond"/>
          <w:sz w:val="24"/>
          <w:szCs w:val="24"/>
        </w:rPr>
        <w:t xml:space="preserve">; </w:t>
      </w:r>
      <w:r w:rsidR="005B51D8">
        <w:rPr>
          <w:rFonts w:ascii="Garamond" w:hAnsi="Garamond"/>
          <w:sz w:val="24"/>
          <w:szCs w:val="24"/>
        </w:rPr>
        <w:t>(</w:t>
      </w:r>
      <w:r w:rsidR="006E5B51" w:rsidRPr="00687920">
        <w:rPr>
          <w:rFonts w:ascii="Garamond" w:hAnsi="Garamond"/>
          <w:sz w:val="24"/>
          <w:szCs w:val="24"/>
        </w:rPr>
        <w:t>v</w:t>
      </w:r>
      <w:r w:rsidR="005B51D8">
        <w:rPr>
          <w:rFonts w:ascii="Garamond" w:hAnsi="Garamond"/>
          <w:sz w:val="24"/>
          <w:szCs w:val="24"/>
        </w:rPr>
        <w:t>i</w:t>
      </w:r>
      <w:r w:rsidR="006E5B51" w:rsidRPr="00687920">
        <w:rPr>
          <w:rFonts w:ascii="Garamond" w:hAnsi="Garamond"/>
          <w:sz w:val="24"/>
          <w:szCs w:val="24"/>
        </w:rPr>
        <w:t>)</w:t>
      </w:r>
      <w:r w:rsidR="006E5B51">
        <w:rPr>
          <w:rFonts w:ascii="Garamond" w:hAnsi="Garamond"/>
          <w:sz w:val="24"/>
          <w:szCs w:val="24"/>
        </w:rPr>
        <w:t xml:space="preserve"> </w:t>
      </w:r>
      <w:r w:rsidR="005B51D8">
        <w:rPr>
          <w:rFonts w:ascii="Garamond" w:hAnsi="Garamond"/>
          <w:sz w:val="24"/>
          <w:szCs w:val="24"/>
        </w:rPr>
        <w:t>D</w:t>
      </w:r>
      <w:r w:rsidR="006E5B51" w:rsidRPr="00687920">
        <w:rPr>
          <w:rFonts w:ascii="Garamond" w:hAnsi="Garamond"/>
          <w:sz w:val="24"/>
          <w:szCs w:val="24"/>
        </w:rPr>
        <w:t xml:space="preserve">omestic climate finance; </w:t>
      </w:r>
      <w:r w:rsidR="007C4F08">
        <w:rPr>
          <w:rFonts w:ascii="Garamond" w:hAnsi="Garamond"/>
          <w:sz w:val="24"/>
          <w:szCs w:val="24"/>
        </w:rPr>
        <w:t>and</w:t>
      </w:r>
      <w:r>
        <w:rPr>
          <w:rFonts w:ascii="Garamond" w:hAnsi="Garamond"/>
          <w:sz w:val="24"/>
          <w:szCs w:val="24"/>
        </w:rPr>
        <w:t xml:space="preserve"> </w:t>
      </w:r>
      <w:r w:rsidRPr="00687920">
        <w:rPr>
          <w:rFonts w:ascii="Garamond" w:hAnsi="Garamond"/>
          <w:sz w:val="24"/>
          <w:szCs w:val="24"/>
        </w:rPr>
        <w:t xml:space="preserve">(vii) </w:t>
      </w:r>
      <w:r w:rsidR="005B51D8">
        <w:rPr>
          <w:rFonts w:ascii="Garamond" w:hAnsi="Garamond"/>
          <w:sz w:val="24"/>
          <w:szCs w:val="24"/>
        </w:rPr>
        <w:t>D</w:t>
      </w:r>
      <w:r w:rsidRPr="00687920">
        <w:rPr>
          <w:rFonts w:ascii="Garamond" w:hAnsi="Garamond"/>
          <w:sz w:val="24"/>
          <w:szCs w:val="24"/>
        </w:rPr>
        <w:t>omestic philanthropy</w:t>
      </w:r>
      <w:r>
        <w:rPr>
          <w:rFonts w:ascii="Garamond" w:hAnsi="Garamond"/>
          <w:sz w:val="24"/>
          <w:szCs w:val="24"/>
        </w:rPr>
        <w:t xml:space="preserve"> and NGOs.</w:t>
      </w:r>
    </w:p>
    <w:p w:rsidR="00BE4E25" w:rsidRDefault="00BE4E25" w:rsidP="00C26A15">
      <w:pPr>
        <w:spacing w:after="0" w:line="240" w:lineRule="auto"/>
        <w:jc w:val="both"/>
        <w:rPr>
          <w:rFonts w:ascii="Garamond" w:hAnsi="Garamond"/>
          <w:sz w:val="24"/>
          <w:szCs w:val="24"/>
        </w:rPr>
      </w:pPr>
    </w:p>
    <w:p w:rsidR="008046F4" w:rsidRPr="00D7385A" w:rsidRDefault="00955C8E" w:rsidP="00D7385A">
      <w:pPr>
        <w:pStyle w:val="Heading2"/>
        <w:rPr>
          <w:rFonts w:ascii="Garamond" w:hAnsi="Garamond"/>
          <w:b/>
          <w:i/>
          <w:sz w:val="24"/>
          <w:szCs w:val="24"/>
        </w:rPr>
      </w:pPr>
      <w:bookmarkStart w:id="48" w:name="_Toc486782269"/>
      <w:r w:rsidRPr="00D7385A">
        <w:rPr>
          <w:rFonts w:ascii="Garamond" w:hAnsi="Garamond" w:cs="Times New Roman"/>
          <w:b/>
          <w:sz w:val="24"/>
          <w:szCs w:val="24"/>
        </w:rPr>
        <w:t>5</w:t>
      </w:r>
      <w:r w:rsidR="000F6014" w:rsidRPr="00D7385A">
        <w:rPr>
          <w:rFonts w:ascii="Garamond" w:hAnsi="Garamond" w:cs="Times New Roman"/>
          <w:b/>
          <w:sz w:val="24"/>
          <w:szCs w:val="24"/>
        </w:rPr>
        <w:t xml:space="preserve">.1 </w:t>
      </w:r>
      <w:r w:rsidR="008046F4" w:rsidRPr="00D7385A">
        <w:rPr>
          <w:rFonts w:ascii="Garamond" w:hAnsi="Garamond"/>
          <w:b/>
          <w:sz w:val="24"/>
          <w:szCs w:val="24"/>
        </w:rPr>
        <w:t>Tax and non-tax sources of finance</w:t>
      </w:r>
      <w:bookmarkEnd w:id="48"/>
      <w:r w:rsidR="008046F4" w:rsidRPr="00D7385A">
        <w:rPr>
          <w:rFonts w:ascii="Garamond" w:hAnsi="Garamond"/>
          <w:b/>
          <w:sz w:val="24"/>
          <w:szCs w:val="24"/>
        </w:rPr>
        <w:t xml:space="preserve"> </w:t>
      </w:r>
    </w:p>
    <w:p w:rsidR="00E016A0" w:rsidRPr="00E016A0" w:rsidRDefault="00E016A0" w:rsidP="00C26A15">
      <w:pPr>
        <w:spacing w:after="0" w:line="240" w:lineRule="auto"/>
      </w:pPr>
    </w:p>
    <w:p w:rsidR="008046F4" w:rsidRDefault="008046F4"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Tax revenue, which consists of direct and indirect taxes, as a share of total domestic revenue accounted for 82.2 percent </w:t>
      </w:r>
      <w:r w:rsidR="007F78EE">
        <w:rPr>
          <w:rFonts w:ascii="Garamond" w:hAnsi="Garamond"/>
          <w:sz w:val="24"/>
          <w:szCs w:val="24"/>
        </w:rPr>
        <w:t xml:space="preserve">of total revenue </w:t>
      </w:r>
      <w:r>
        <w:rPr>
          <w:rFonts w:ascii="Garamond" w:hAnsi="Garamond"/>
          <w:sz w:val="24"/>
          <w:szCs w:val="24"/>
        </w:rPr>
        <w:t>in 2015/16. Within tax revenue are direct and indirect taxes. Revenues from direct taxes as a share of total domestic revenue marginally increased from 29.3 percent in 2012/13 to 31 percent in 2015/16. Indirect tax revenue, which consists of domestic indirect taxes and import taxes and tariffs, account</w:t>
      </w:r>
      <w:r w:rsidR="007F78EE">
        <w:rPr>
          <w:rFonts w:ascii="Garamond" w:hAnsi="Garamond"/>
          <w:sz w:val="24"/>
          <w:szCs w:val="24"/>
        </w:rPr>
        <w:t>s</w:t>
      </w:r>
      <w:r>
        <w:rPr>
          <w:rFonts w:ascii="Garamond" w:hAnsi="Garamond"/>
          <w:sz w:val="24"/>
          <w:szCs w:val="24"/>
        </w:rPr>
        <w:t xml:space="preserve"> for a large share of total revenue: accounting for 51.2 percent in 2015/16. In absolute terms, revenue from indirect taxes increased from ETB 70.6 billion in 2012/13 to ETB 117 billion in 2015/16. </w:t>
      </w:r>
      <w:r w:rsidR="007F78EE">
        <w:rPr>
          <w:rFonts w:ascii="Garamond" w:hAnsi="Garamond"/>
          <w:sz w:val="24"/>
          <w:szCs w:val="24"/>
        </w:rPr>
        <w:t>In particular, r</w:t>
      </w:r>
      <w:r>
        <w:rPr>
          <w:rFonts w:ascii="Garamond" w:hAnsi="Garamond"/>
          <w:sz w:val="24"/>
          <w:szCs w:val="24"/>
        </w:rPr>
        <w:t xml:space="preserve">evenue from import taxes and tariffs also increased from ETB 38.2 billion to ETB 59.3 billion. </w:t>
      </w:r>
    </w:p>
    <w:p w:rsidR="007C4F08" w:rsidRDefault="007C4F08" w:rsidP="00C26A15">
      <w:pPr>
        <w:autoSpaceDE w:val="0"/>
        <w:autoSpaceDN w:val="0"/>
        <w:adjustRightInd w:val="0"/>
        <w:spacing w:after="0" w:line="240" w:lineRule="auto"/>
        <w:jc w:val="both"/>
        <w:rPr>
          <w:rFonts w:ascii="Garamond" w:hAnsi="Garamond"/>
          <w:sz w:val="24"/>
          <w:szCs w:val="24"/>
        </w:rPr>
      </w:pPr>
    </w:p>
    <w:p w:rsidR="007C4F08" w:rsidRDefault="007C4F08" w:rsidP="00C26A15">
      <w:pPr>
        <w:autoSpaceDE w:val="0"/>
        <w:autoSpaceDN w:val="0"/>
        <w:adjustRightInd w:val="0"/>
        <w:spacing w:after="0" w:line="240" w:lineRule="auto"/>
        <w:jc w:val="both"/>
        <w:rPr>
          <w:rFonts w:ascii="Garamond" w:hAnsi="Garamond"/>
          <w:sz w:val="24"/>
          <w:szCs w:val="24"/>
        </w:rPr>
      </w:pPr>
    </w:p>
    <w:p w:rsidR="007C4F08" w:rsidRDefault="007C4F08" w:rsidP="00C26A15">
      <w:pPr>
        <w:autoSpaceDE w:val="0"/>
        <w:autoSpaceDN w:val="0"/>
        <w:adjustRightInd w:val="0"/>
        <w:spacing w:after="0" w:line="240" w:lineRule="auto"/>
        <w:jc w:val="both"/>
        <w:rPr>
          <w:rFonts w:ascii="Garamond" w:hAnsi="Garamond"/>
          <w:sz w:val="24"/>
          <w:szCs w:val="24"/>
        </w:rPr>
      </w:pPr>
    </w:p>
    <w:p w:rsidR="007C4F08" w:rsidRDefault="007C4F08" w:rsidP="00C26A15">
      <w:pPr>
        <w:autoSpaceDE w:val="0"/>
        <w:autoSpaceDN w:val="0"/>
        <w:adjustRightInd w:val="0"/>
        <w:spacing w:after="0" w:line="240" w:lineRule="auto"/>
        <w:jc w:val="both"/>
        <w:rPr>
          <w:rFonts w:ascii="Garamond" w:hAnsi="Garamond"/>
          <w:sz w:val="24"/>
          <w:szCs w:val="24"/>
        </w:rPr>
      </w:pPr>
    </w:p>
    <w:p w:rsidR="007C4F08" w:rsidRDefault="007C4F08" w:rsidP="00C26A15">
      <w:pPr>
        <w:autoSpaceDE w:val="0"/>
        <w:autoSpaceDN w:val="0"/>
        <w:adjustRightInd w:val="0"/>
        <w:spacing w:after="0" w:line="240" w:lineRule="auto"/>
        <w:jc w:val="both"/>
        <w:rPr>
          <w:rFonts w:ascii="Garamond" w:hAnsi="Garamond"/>
          <w:sz w:val="24"/>
          <w:szCs w:val="24"/>
        </w:rPr>
      </w:pPr>
    </w:p>
    <w:p w:rsidR="005B51D8" w:rsidRDefault="005B51D8" w:rsidP="00C26A15">
      <w:pPr>
        <w:autoSpaceDE w:val="0"/>
        <w:autoSpaceDN w:val="0"/>
        <w:adjustRightInd w:val="0"/>
        <w:spacing w:after="0" w:line="240" w:lineRule="auto"/>
        <w:jc w:val="both"/>
        <w:rPr>
          <w:rFonts w:ascii="Garamond" w:hAnsi="Garamond"/>
          <w:sz w:val="24"/>
          <w:szCs w:val="24"/>
        </w:rPr>
      </w:pPr>
    </w:p>
    <w:p w:rsidR="005B51D8" w:rsidRDefault="005B51D8" w:rsidP="00C26A15">
      <w:pPr>
        <w:autoSpaceDE w:val="0"/>
        <w:autoSpaceDN w:val="0"/>
        <w:adjustRightInd w:val="0"/>
        <w:spacing w:after="0" w:line="240" w:lineRule="auto"/>
        <w:jc w:val="both"/>
        <w:rPr>
          <w:rFonts w:ascii="Garamond" w:hAnsi="Garamond"/>
          <w:sz w:val="24"/>
          <w:szCs w:val="24"/>
        </w:rPr>
      </w:pPr>
    </w:p>
    <w:p w:rsidR="005B51D8" w:rsidRDefault="005B51D8" w:rsidP="00C26A15">
      <w:pPr>
        <w:autoSpaceDE w:val="0"/>
        <w:autoSpaceDN w:val="0"/>
        <w:adjustRightInd w:val="0"/>
        <w:spacing w:after="0" w:line="240" w:lineRule="auto"/>
        <w:jc w:val="both"/>
        <w:rPr>
          <w:rFonts w:ascii="Garamond" w:hAnsi="Garamond"/>
          <w:sz w:val="24"/>
          <w:szCs w:val="24"/>
        </w:rPr>
      </w:pPr>
    </w:p>
    <w:p w:rsidR="005B51D8" w:rsidRDefault="005B51D8" w:rsidP="00C26A15">
      <w:pPr>
        <w:autoSpaceDE w:val="0"/>
        <w:autoSpaceDN w:val="0"/>
        <w:adjustRightInd w:val="0"/>
        <w:spacing w:after="0" w:line="240" w:lineRule="auto"/>
        <w:jc w:val="both"/>
        <w:rPr>
          <w:rFonts w:ascii="Garamond" w:hAnsi="Garamond"/>
          <w:sz w:val="24"/>
          <w:szCs w:val="24"/>
        </w:rPr>
      </w:pPr>
    </w:p>
    <w:p w:rsidR="005B51D8" w:rsidRDefault="005B51D8" w:rsidP="00C26A15">
      <w:pPr>
        <w:autoSpaceDE w:val="0"/>
        <w:autoSpaceDN w:val="0"/>
        <w:adjustRightInd w:val="0"/>
        <w:spacing w:after="0" w:line="240" w:lineRule="auto"/>
        <w:jc w:val="both"/>
        <w:rPr>
          <w:rFonts w:ascii="Garamond" w:hAnsi="Garamond"/>
          <w:sz w:val="24"/>
          <w:szCs w:val="24"/>
        </w:rPr>
      </w:pPr>
    </w:p>
    <w:p w:rsidR="007C4F08" w:rsidRDefault="007C4F08" w:rsidP="00C26A15">
      <w:pPr>
        <w:autoSpaceDE w:val="0"/>
        <w:autoSpaceDN w:val="0"/>
        <w:adjustRightInd w:val="0"/>
        <w:spacing w:after="0" w:line="240" w:lineRule="auto"/>
        <w:jc w:val="both"/>
        <w:rPr>
          <w:rFonts w:ascii="Garamond" w:hAnsi="Garamond"/>
          <w:sz w:val="24"/>
          <w:szCs w:val="24"/>
        </w:rPr>
      </w:pPr>
    </w:p>
    <w:p w:rsidR="007C4F08" w:rsidRDefault="007C4F08" w:rsidP="00C26A15">
      <w:pPr>
        <w:autoSpaceDE w:val="0"/>
        <w:autoSpaceDN w:val="0"/>
        <w:adjustRightInd w:val="0"/>
        <w:spacing w:after="0" w:line="240" w:lineRule="auto"/>
        <w:jc w:val="both"/>
        <w:rPr>
          <w:rFonts w:ascii="Garamond" w:hAnsi="Garamond"/>
          <w:sz w:val="24"/>
          <w:szCs w:val="24"/>
        </w:rPr>
      </w:pPr>
    </w:p>
    <w:p w:rsidR="007C4F08" w:rsidRDefault="007C4F08" w:rsidP="00C26A15">
      <w:pPr>
        <w:autoSpaceDE w:val="0"/>
        <w:autoSpaceDN w:val="0"/>
        <w:adjustRightInd w:val="0"/>
        <w:spacing w:after="0" w:line="240" w:lineRule="auto"/>
        <w:jc w:val="both"/>
        <w:rPr>
          <w:rFonts w:ascii="Garamond" w:hAnsi="Garamond"/>
          <w:sz w:val="24"/>
          <w:szCs w:val="24"/>
        </w:rPr>
      </w:pPr>
    </w:p>
    <w:p w:rsidR="007C4F08" w:rsidRDefault="007C4F08" w:rsidP="00C26A15">
      <w:pPr>
        <w:autoSpaceDE w:val="0"/>
        <w:autoSpaceDN w:val="0"/>
        <w:adjustRightInd w:val="0"/>
        <w:spacing w:after="0" w:line="240" w:lineRule="auto"/>
        <w:jc w:val="both"/>
        <w:rPr>
          <w:rFonts w:ascii="Garamond" w:hAnsi="Garamond"/>
          <w:sz w:val="24"/>
          <w:szCs w:val="24"/>
        </w:rPr>
      </w:pPr>
    </w:p>
    <w:p w:rsidR="006B3CC7" w:rsidRDefault="006B3CC7" w:rsidP="00C26A15">
      <w:pPr>
        <w:autoSpaceDE w:val="0"/>
        <w:autoSpaceDN w:val="0"/>
        <w:adjustRightInd w:val="0"/>
        <w:spacing w:after="0" w:line="240" w:lineRule="auto"/>
        <w:jc w:val="both"/>
        <w:rPr>
          <w:rFonts w:ascii="Garamond" w:hAnsi="Garamond"/>
          <w:sz w:val="24"/>
          <w:szCs w:val="24"/>
        </w:rPr>
      </w:pPr>
    </w:p>
    <w:p w:rsidR="006B3CC7" w:rsidRDefault="006B3CC7" w:rsidP="00C26A15">
      <w:pPr>
        <w:autoSpaceDE w:val="0"/>
        <w:autoSpaceDN w:val="0"/>
        <w:adjustRightInd w:val="0"/>
        <w:spacing w:after="0" w:line="240" w:lineRule="auto"/>
        <w:jc w:val="both"/>
        <w:rPr>
          <w:rFonts w:ascii="Garamond" w:hAnsi="Garamond"/>
          <w:sz w:val="24"/>
          <w:szCs w:val="24"/>
        </w:rPr>
      </w:pPr>
    </w:p>
    <w:p w:rsidR="008046F4" w:rsidRPr="00121285" w:rsidRDefault="008046F4" w:rsidP="00C26A15">
      <w:pPr>
        <w:pStyle w:val="Caption"/>
        <w:spacing w:after="0"/>
        <w:rPr>
          <w:rFonts w:ascii="Garamond" w:hAnsi="Garamond"/>
          <w:sz w:val="22"/>
          <w:szCs w:val="22"/>
        </w:rPr>
      </w:pPr>
      <w:bookmarkStart w:id="49" w:name="_Toc486585943"/>
      <w:r w:rsidRPr="00121285">
        <w:rPr>
          <w:rFonts w:ascii="Garamond" w:hAnsi="Garamond"/>
          <w:sz w:val="22"/>
          <w:szCs w:val="22"/>
        </w:rPr>
        <w:t xml:space="preserve">Figure </w:t>
      </w:r>
      <w:r w:rsidR="00BF3BBC" w:rsidRPr="00121285">
        <w:rPr>
          <w:rFonts w:ascii="Garamond" w:hAnsi="Garamond"/>
          <w:sz w:val="22"/>
          <w:szCs w:val="22"/>
        </w:rPr>
        <w:fldChar w:fldCharType="begin"/>
      </w:r>
      <w:r w:rsidR="00121285" w:rsidRPr="00121285">
        <w:rPr>
          <w:rFonts w:ascii="Garamond" w:hAnsi="Garamond"/>
          <w:sz w:val="22"/>
          <w:szCs w:val="22"/>
        </w:rPr>
        <w:instrText xml:space="preserve"> SEQ Figure \* ARABIC </w:instrText>
      </w:r>
      <w:r w:rsidR="00BF3BBC" w:rsidRPr="00121285">
        <w:rPr>
          <w:rFonts w:ascii="Garamond" w:hAnsi="Garamond"/>
          <w:sz w:val="22"/>
          <w:szCs w:val="22"/>
        </w:rPr>
        <w:fldChar w:fldCharType="separate"/>
      </w:r>
      <w:r w:rsidR="006C24A4">
        <w:rPr>
          <w:rFonts w:ascii="Garamond" w:hAnsi="Garamond"/>
          <w:noProof/>
          <w:sz w:val="22"/>
          <w:szCs w:val="22"/>
        </w:rPr>
        <w:t>8</w:t>
      </w:r>
      <w:r w:rsidR="00BF3BBC" w:rsidRPr="00121285">
        <w:rPr>
          <w:rFonts w:ascii="Garamond" w:hAnsi="Garamond"/>
          <w:sz w:val="22"/>
          <w:szCs w:val="22"/>
        </w:rPr>
        <w:fldChar w:fldCharType="end"/>
      </w:r>
      <w:r w:rsidRPr="00121285">
        <w:rPr>
          <w:rFonts w:ascii="Garamond" w:hAnsi="Garamond"/>
          <w:sz w:val="22"/>
          <w:szCs w:val="22"/>
        </w:rPr>
        <w:t>: Share of tax and non-tax revenues in total revenue</w:t>
      </w:r>
      <w:r w:rsidR="002D4D8C">
        <w:rPr>
          <w:rFonts w:ascii="Garamond" w:hAnsi="Garamond"/>
          <w:sz w:val="22"/>
          <w:szCs w:val="22"/>
        </w:rPr>
        <w:t xml:space="preserve"> excluding grants</w:t>
      </w:r>
      <w:r w:rsidRPr="00121285">
        <w:rPr>
          <w:rFonts w:ascii="Garamond" w:hAnsi="Garamond"/>
          <w:sz w:val="22"/>
          <w:szCs w:val="22"/>
        </w:rPr>
        <w:t xml:space="preserve"> (Percent)</w:t>
      </w:r>
      <w:bookmarkEnd w:id="49"/>
    </w:p>
    <w:p w:rsidR="008046F4" w:rsidRDefault="008046F4" w:rsidP="00C26A15">
      <w:pPr>
        <w:autoSpaceDE w:val="0"/>
        <w:autoSpaceDN w:val="0"/>
        <w:adjustRightInd w:val="0"/>
        <w:spacing w:after="0" w:line="240" w:lineRule="auto"/>
        <w:jc w:val="both"/>
        <w:rPr>
          <w:rFonts w:ascii="Garamond" w:hAnsi="Garamond"/>
          <w:sz w:val="24"/>
          <w:szCs w:val="24"/>
        </w:rPr>
      </w:pPr>
      <w:r>
        <w:rPr>
          <w:noProof/>
        </w:rPr>
        <w:drawing>
          <wp:inline distT="0" distB="0" distL="0" distR="0">
            <wp:extent cx="6013450" cy="1860550"/>
            <wp:effectExtent l="0" t="0" r="6350"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1285" w:rsidRDefault="008046F4" w:rsidP="007C4F08">
      <w:pPr>
        <w:autoSpaceDE w:val="0"/>
        <w:autoSpaceDN w:val="0"/>
        <w:adjustRightInd w:val="0"/>
        <w:spacing w:after="0" w:line="240" w:lineRule="auto"/>
        <w:jc w:val="both"/>
        <w:rPr>
          <w:rFonts w:ascii="Garamond" w:hAnsi="Garamond"/>
          <w:sz w:val="20"/>
          <w:szCs w:val="20"/>
        </w:rPr>
      </w:pPr>
      <w:r w:rsidRPr="00C84220">
        <w:rPr>
          <w:rFonts w:ascii="Garamond" w:hAnsi="Garamond"/>
          <w:sz w:val="20"/>
          <w:szCs w:val="20"/>
        </w:rPr>
        <w:t>Source: Based on MoFEC data</w:t>
      </w:r>
    </w:p>
    <w:p w:rsidR="007C4F08" w:rsidRDefault="007C4F08" w:rsidP="007C4F08">
      <w:pPr>
        <w:autoSpaceDE w:val="0"/>
        <w:autoSpaceDN w:val="0"/>
        <w:adjustRightInd w:val="0"/>
        <w:spacing w:after="0" w:line="240" w:lineRule="auto"/>
        <w:jc w:val="both"/>
      </w:pPr>
    </w:p>
    <w:p w:rsidR="008046F4" w:rsidRPr="005B32B8" w:rsidRDefault="008046F4"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b/>
          <w:sz w:val="24"/>
          <w:szCs w:val="24"/>
        </w:rPr>
      </w:pPr>
      <w:r w:rsidRPr="005B32B8">
        <w:rPr>
          <w:rFonts w:ascii="Garamond" w:hAnsi="Garamond"/>
          <w:b/>
          <w:sz w:val="24"/>
          <w:szCs w:val="24"/>
        </w:rPr>
        <w:t xml:space="preserve">Box </w:t>
      </w:r>
      <w:r w:rsidR="00FD0262" w:rsidRPr="005B32B8">
        <w:rPr>
          <w:rFonts w:ascii="Garamond" w:hAnsi="Garamond"/>
          <w:b/>
          <w:sz w:val="24"/>
          <w:szCs w:val="24"/>
        </w:rPr>
        <w:t>4</w:t>
      </w:r>
      <w:r w:rsidRPr="005B32B8">
        <w:rPr>
          <w:rFonts w:ascii="Garamond" w:hAnsi="Garamond"/>
          <w:b/>
          <w:sz w:val="24"/>
          <w:szCs w:val="24"/>
        </w:rPr>
        <w:t xml:space="preserve">: Types of tax and non-tax </w:t>
      </w:r>
      <w:r w:rsidR="000F6014" w:rsidRPr="005B32B8">
        <w:rPr>
          <w:rFonts w:ascii="Garamond" w:hAnsi="Garamond"/>
          <w:b/>
          <w:sz w:val="24"/>
          <w:szCs w:val="24"/>
        </w:rPr>
        <w:t xml:space="preserve">revenue </w:t>
      </w:r>
      <w:r w:rsidRPr="005B32B8">
        <w:rPr>
          <w:rFonts w:ascii="Garamond" w:hAnsi="Garamond"/>
          <w:b/>
          <w:sz w:val="24"/>
          <w:szCs w:val="24"/>
        </w:rPr>
        <w:t>sources</w:t>
      </w:r>
    </w:p>
    <w:p w:rsidR="008046F4" w:rsidRPr="005B32B8" w:rsidRDefault="008046F4"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bCs/>
          <w:sz w:val="24"/>
          <w:szCs w:val="24"/>
        </w:rPr>
      </w:pPr>
      <w:r w:rsidRPr="005B32B8">
        <w:rPr>
          <w:rFonts w:ascii="Garamond" w:hAnsi="Garamond"/>
          <w:sz w:val="24"/>
          <w:szCs w:val="24"/>
        </w:rPr>
        <w:t>According to the Ethiopian fiscal data, tax revenue sources include both direct and indirect taxes.</w:t>
      </w:r>
      <w:r w:rsidRPr="005B32B8">
        <w:rPr>
          <w:rFonts w:ascii="Times New Roman" w:hAnsi="Times New Roman"/>
          <w:b/>
          <w:bCs/>
          <w:sz w:val="24"/>
          <w:szCs w:val="24"/>
        </w:rPr>
        <w:t xml:space="preserve"> </w:t>
      </w:r>
    </w:p>
    <w:p w:rsidR="008046F4" w:rsidRPr="005B32B8" w:rsidRDefault="008046F4"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iCs/>
          <w:sz w:val="24"/>
          <w:szCs w:val="24"/>
        </w:rPr>
      </w:pPr>
      <w:r w:rsidRPr="005B32B8">
        <w:rPr>
          <w:rFonts w:ascii="Garamond" w:hAnsi="Garamond"/>
          <w:b/>
          <w:sz w:val="24"/>
          <w:szCs w:val="24"/>
        </w:rPr>
        <w:t>Direct tax revenue sources</w:t>
      </w:r>
      <w:r w:rsidRPr="005B32B8">
        <w:rPr>
          <w:rFonts w:ascii="Garamond" w:hAnsi="Garamond"/>
          <w:sz w:val="24"/>
          <w:szCs w:val="24"/>
        </w:rPr>
        <w:t>: include taxes on income and profit income which consist of personal income tax, rental income tax, business profits, w</w:t>
      </w:r>
      <w:r w:rsidRPr="005B32B8">
        <w:rPr>
          <w:rFonts w:ascii="Garamond" w:hAnsi="Garamond"/>
          <w:iCs/>
          <w:sz w:val="24"/>
          <w:szCs w:val="24"/>
        </w:rPr>
        <w:t>ithholding income tax on imports, o</w:t>
      </w:r>
      <w:r w:rsidRPr="005B32B8">
        <w:rPr>
          <w:rFonts w:ascii="Garamond" w:hAnsi="Garamond"/>
          <w:sz w:val="24"/>
          <w:szCs w:val="24"/>
        </w:rPr>
        <w:t>ther income/chance winning, and i</w:t>
      </w:r>
      <w:r w:rsidRPr="005B32B8">
        <w:rPr>
          <w:rFonts w:ascii="Garamond" w:hAnsi="Garamond"/>
          <w:iCs/>
          <w:sz w:val="24"/>
          <w:szCs w:val="24"/>
        </w:rPr>
        <w:t xml:space="preserve">nterest income tax. Tax on profits account for a large share of total direct tax revenue, accounting for about 76 percent of total direct tax revenue in 2015/16. </w:t>
      </w:r>
    </w:p>
    <w:p w:rsidR="008046F4" w:rsidRPr="005B32B8" w:rsidRDefault="008046F4"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iCs/>
          <w:sz w:val="24"/>
          <w:szCs w:val="24"/>
        </w:rPr>
      </w:pPr>
      <w:r w:rsidRPr="005B32B8">
        <w:rPr>
          <w:rFonts w:ascii="Garamond" w:hAnsi="Garamond"/>
          <w:b/>
          <w:iCs/>
          <w:sz w:val="24"/>
          <w:szCs w:val="24"/>
        </w:rPr>
        <w:t>Indirect tax rev</w:t>
      </w:r>
      <w:r w:rsidR="000F6014" w:rsidRPr="005B32B8">
        <w:rPr>
          <w:rFonts w:ascii="Garamond" w:hAnsi="Garamond"/>
          <w:b/>
          <w:iCs/>
          <w:sz w:val="24"/>
          <w:szCs w:val="24"/>
        </w:rPr>
        <w:t>en</w:t>
      </w:r>
      <w:r w:rsidRPr="005B32B8">
        <w:rPr>
          <w:rFonts w:ascii="Garamond" w:hAnsi="Garamond"/>
          <w:b/>
          <w:iCs/>
          <w:sz w:val="24"/>
          <w:szCs w:val="24"/>
        </w:rPr>
        <w:t>ue sources</w:t>
      </w:r>
      <w:r w:rsidRPr="005B32B8">
        <w:rPr>
          <w:rFonts w:ascii="Garamond" w:hAnsi="Garamond"/>
          <w:iCs/>
          <w:sz w:val="24"/>
          <w:szCs w:val="24"/>
        </w:rPr>
        <w:t xml:space="preserve">: include two main sources, namely domestic indirect taxes and import duties and taxes. The former includes sales/value added (VAT)/turnover tax (TOT)/excise taxes (such as services sales tax/VAT/TOT, and stamp duties), while the latter includes custom duties, sales/VAT/excise taxes (on petroleum products, alcohol and tobacco, and other imports), and surtax on imports.  The two main indirect tax sources are sales/VAT/excise taxes and customs duties. In 2015/16, these indirect tax sources accounted for about 28 percent and 20 percent of total indirect tax revenue, respectively. </w:t>
      </w:r>
    </w:p>
    <w:p w:rsidR="008046F4" w:rsidRPr="00C84220" w:rsidRDefault="008046F4"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sz w:val="20"/>
          <w:szCs w:val="20"/>
        </w:rPr>
      </w:pPr>
      <w:r w:rsidRPr="005B32B8">
        <w:rPr>
          <w:rFonts w:ascii="Garamond" w:hAnsi="Garamond"/>
          <w:b/>
          <w:iCs/>
          <w:sz w:val="24"/>
          <w:szCs w:val="24"/>
        </w:rPr>
        <w:t>Non-tax finance sources</w:t>
      </w:r>
      <w:r w:rsidRPr="005B32B8">
        <w:rPr>
          <w:rFonts w:ascii="Garamond" w:hAnsi="Garamond"/>
          <w:iCs/>
          <w:sz w:val="24"/>
          <w:szCs w:val="24"/>
        </w:rPr>
        <w:t>: The main elements of non-tax sources of finance includes charges and fees, sales of goods &amp; services, residual surplus, capital charge, interest payments and state dividend, pension contributions,  reimbursement &amp; property sales, and miscellaneous. Of these, residual surplus, capital charge, interest payments and state dividend is the main source of non-tax source of government finance</w:t>
      </w:r>
      <w:r>
        <w:rPr>
          <w:rFonts w:ascii="Garamond" w:hAnsi="Garamond"/>
          <w:iCs/>
        </w:rPr>
        <w:t xml:space="preserve">. For instance, this source of finance accounted for about 87 percent of non-tax revenue in 2015/16.  </w:t>
      </w:r>
    </w:p>
    <w:p w:rsidR="008046F4" w:rsidRDefault="008046F4" w:rsidP="00C26A15">
      <w:pPr>
        <w:spacing w:after="0" w:line="240" w:lineRule="auto"/>
        <w:jc w:val="both"/>
        <w:rPr>
          <w:rFonts w:ascii="Garamond" w:hAnsi="Garamond"/>
          <w:sz w:val="24"/>
          <w:szCs w:val="24"/>
        </w:rPr>
      </w:pPr>
    </w:p>
    <w:p w:rsidR="008046F4" w:rsidRDefault="007F78EE" w:rsidP="00C26A15">
      <w:pPr>
        <w:spacing w:after="0" w:line="240" w:lineRule="auto"/>
        <w:jc w:val="both"/>
        <w:rPr>
          <w:rFonts w:ascii="Garamond" w:hAnsi="Garamond"/>
          <w:sz w:val="24"/>
          <w:szCs w:val="24"/>
        </w:rPr>
      </w:pPr>
      <w:r>
        <w:rPr>
          <w:rFonts w:ascii="Garamond" w:hAnsi="Garamond"/>
          <w:sz w:val="24"/>
          <w:szCs w:val="24"/>
        </w:rPr>
        <w:t>Despite robust economic growth, t</w:t>
      </w:r>
      <w:r w:rsidR="008046F4">
        <w:rPr>
          <w:rFonts w:ascii="Garamond" w:hAnsi="Garamond"/>
          <w:sz w:val="24"/>
          <w:szCs w:val="24"/>
        </w:rPr>
        <w:t xml:space="preserve">he share of tax revenue in GDP has not shown </w:t>
      </w:r>
      <w:r w:rsidR="000F6014">
        <w:rPr>
          <w:rFonts w:ascii="Garamond" w:hAnsi="Garamond"/>
          <w:sz w:val="24"/>
          <w:szCs w:val="24"/>
        </w:rPr>
        <w:t xml:space="preserve">significant </w:t>
      </w:r>
      <w:r w:rsidR="008046F4">
        <w:rPr>
          <w:rFonts w:ascii="Garamond" w:hAnsi="Garamond"/>
          <w:sz w:val="24"/>
          <w:szCs w:val="24"/>
        </w:rPr>
        <w:t>improvement</w:t>
      </w:r>
      <w:r w:rsidR="00723E84">
        <w:rPr>
          <w:rFonts w:ascii="Garamond" w:hAnsi="Garamond"/>
          <w:sz w:val="24"/>
          <w:szCs w:val="24"/>
        </w:rPr>
        <w:t xml:space="preserve">; </w:t>
      </w:r>
      <w:r w:rsidR="008046F4" w:rsidRPr="008B78CF">
        <w:rPr>
          <w:rFonts w:ascii="Garamond" w:hAnsi="Garamond"/>
          <w:sz w:val="24"/>
          <w:szCs w:val="24"/>
        </w:rPr>
        <w:t xml:space="preserve">tax revenue as a share of GDP </w:t>
      </w:r>
      <w:r w:rsidR="008046F4">
        <w:rPr>
          <w:rFonts w:ascii="Garamond" w:hAnsi="Garamond"/>
          <w:sz w:val="24"/>
          <w:szCs w:val="24"/>
        </w:rPr>
        <w:t xml:space="preserve">slightly increased from </w:t>
      </w:r>
      <w:r w:rsidR="008046F4" w:rsidRPr="008B78CF">
        <w:rPr>
          <w:rFonts w:ascii="Garamond" w:hAnsi="Garamond"/>
          <w:sz w:val="24"/>
          <w:szCs w:val="24"/>
        </w:rPr>
        <w:t>1</w:t>
      </w:r>
      <w:r w:rsidR="008046F4">
        <w:rPr>
          <w:rFonts w:ascii="Garamond" w:hAnsi="Garamond"/>
          <w:sz w:val="24"/>
          <w:szCs w:val="24"/>
        </w:rPr>
        <w:t>1</w:t>
      </w:r>
      <w:r w:rsidR="008046F4" w:rsidRPr="008B78CF">
        <w:rPr>
          <w:rFonts w:ascii="Garamond" w:hAnsi="Garamond"/>
          <w:sz w:val="24"/>
          <w:szCs w:val="24"/>
        </w:rPr>
        <w:t>.5</w:t>
      </w:r>
      <w:r w:rsidR="008046F4">
        <w:rPr>
          <w:rFonts w:ascii="Garamond" w:hAnsi="Garamond"/>
          <w:sz w:val="24"/>
          <w:szCs w:val="24"/>
        </w:rPr>
        <w:t xml:space="preserve"> percent </w:t>
      </w:r>
      <w:r w:rsidR="008046F4" w:rsidRPr="008B78CF">
        <w:rPr>
          <w:rFonts w:ascii="Garamond" w:hAnsi="Garamond"/>
          <w:sz w:val="24"/>
          <w:szCs w:val="24"/>
        </w:rPr>
        <w:t>in 2012/13</w:t>
      </w:r>
      <w:r w:rsidR="008046F4">
        <w:rPr>
          <w:rFonts w:ascii="Garamond" w:hAnsi="Garamond"/>
          <w:sz w:val="24"/>
          <w:szCs w:val="24"/>
        </w:rPr>
        <w:t xml:space="preserve"> to 12.9 percent in 2015/16</w:t>
      </w:r>
      <w:r w:rsidR="008046F4" w:rsidRPr="008B78CF">
        <w:rPr>
          <w:rFonts w:ascii="Garamond" w:hAnsi="Garamond"/>
          <w:sz w:val="24"/>
          <w:szCs w:val="24"/>
        </w:rPr>
        <w:t>.</w:t>
      </w:r>
      <w:r w:rsidR="00C9678E">
        <w:rPr>
          <w:rFonts w:ascii="Garamond" w:hAnsi="Garamond"/>
          <w:sz w:val="24"/>
          <w:szCs w:val="24"/>
        </w:rPr>
        <w:t xml:space="preserve"> </w:t>
      </w:r>
      <w:r w:rsidR="00C7401E">
        <w:rPr>
          <w:rFonts w:ascii="Garamond" w:hAnsi="Garamond"/>
          <w:sz w:val="24"/>
          <w:szCs w:val="24"/>
        </w:rPr>
        <w:t>T</w:t>
      </w:r>
      <w:r w:rsidR="00C9678E">
        <w:rPr>
          <w:rFonts w:ascii="Garamond" w:hAnsi="Garamond"/>
          <w:sz w:val="24"/>
          <w:szCs w:val="24"/>
        </w:rPr>
        <w:t>ax revenue has remained low compared to the tax revenue generating capacity of the economy, the financing requirements of the development programs and the average performances of the sub-Saharan countries</w:t>
      </w:r>
      <w:r w:rsidR="00723E84" w:rsidRPr="00723E84">
        <w:rPr>
          <w:rFonts w:ascii="Garamond" w:hAnsi="Garamond"/>
          <w:sz w:val="24"/>
          <w:szCs w:val="24"/>
        </w:rPr>
        <w:t xml:space="preserve"> </w:t>
      </w:r>
      <w:r w:rsidR="00723E84" w:rsidRPr="008B78CF">
        <w:rPr>
          <w:rFonts w:ascii="Garamond" w:hAnsi="Garamond"/>
          <w:sz w:val="24"/>
          <w:szCs w:val="24"/>
        </w:rPr>
        <w:t>(MoFED, 2013</w:t>
      </w:r>
      <w:r w:rsidR="00723E84">
        <w:rPr>
          <w:rFonts w:ascii="Garamond" w:hAnsi="Garamond"/>
          <w:sz w:val="24"/>
          <w:szCs w:val="24"/>
        </w:rPr>
        <w:t>; World Bank, 2015</w:t>
      </w:r>
      <w:r w:rsidR="00723E84" w:rsidRPr="008B78CF">
        <w:rPr>
          <w:rFonts w:ascii="Garamond" w:hAnsi="Garamond"/>
          <w:sz w:val="24"/>
          <w:szCs w:val="24"/>
        </w:rPr>
        <w:t>)</w:t>
      </w:r>
      <w:r w:rsidR="00C9678E">
        <w:rPr>
          <w:rFonts w:ascii="Garamond" w:hAnsi="Garamond"/>
          <w:sz w:val="24"/>
          <w:szCs w:val="24"/>
        </w:rPr>
        <w:t xml:space="preserve">. </w:t>
      </w:r>
      <w:r w:rsidR="008046F4">
        <w:rPr>
          <w:rFonts w:ascii="Garamond" w:hAnsi="Garamond"/>
          <w:sz w:val="24"/>
          <w:szCs w:val="24"/>
        </w:rPr>
        <w:t>This indicates existence of some kind of inefficiency in tax administration</w:t>
      </w:r>
      <w:r w:rsidR="000A07EE">
        <w:rPr>
          <w:rFonts w:ascii="Garamond" w:hAnsi="Garamond"/>
          <w:sz w:val="24"/>
          <w:szCs w:val="24"/>
        </w:rPr>
        <w:t xml:space="preserve"> and structural problems in the tax system</w:t>
      </w:r>
      <w:r w:rsidR="008046F4">
        <w:rPr>
          <w:rFonts w:ascii="Garamond" w:hAnsi="Garamond"/>
          <w:sz w:val="24"/>
          <w:szCs w:val="24"/>
        </w:rPr>
        <w:t xml:space="preserve">. </w:t>
      </w:r>
    </w:p>
    <w:p w:rsidR="007C4F08" w:rsidRDefault="007C4F08" w:rsidP="00C26A15">
      <w:pPr>
        <w:spacing w:after="0" w:line="240" w:lineRule="auto"/>
        <w:jc w:val="both"/>
        <w:rPr>
          <w:rFonts w:ascii="Garamond" w:hAnsi="Garamond"/>
          <w:sz w:val="24"/>
          <w:szCs w:val="24"/>
        </w:rPr>
      </w:pPr>
    </w:p>
    <w:p w:rsidR="007C4F08" w:rsidRDefault="007C4F08" w:rsidP="00C26A15">
      <w:pPr>
        <w:spacing w:after="0" w:line="240" w:lineRule="auto"/>
        <w:jc w:val="both"/>
        <w:rPr>
          <w:rFonts w:ascii="Garamond" w:hAnsi="Garamond"/>
          <w:sz w:val="24"/>
          <w:szCs w:val="24"/>
        </w:rPr>
      </w:pPr>
    </w:p>
    <w:p w:rsidR="007C4F08" w:rsidRDefault="007C4F08" w:rsidP="00C26A15">
      <w:pPr>
        <w:spacing w:after="0" w:line="240" w:lineRule="auto"/>
        <w:jc w:val="both"/>
        <w:rPr>
          <w:rFonts w:ascii="Garamond" w:hAnsi="Garamond"/>
          <w:sz w:val="24"/>
          <w:szCs w:val="24"/>
        </w:rPr>
      </w:pPr>
    </w:p>
    <w:p w:rsidR="007C4F08" w:rsidRDefault="007C4F08" w:rsidP="00C26A15">
      <w:pPr>
        <w:spacing w:after="0" w:line="240" w:lineRule="auto"/>
        <w:jc w:val="both"/>
        <w:rPr>
          <w:rFonts w:ascii="Garamond" w:hAnsi="Garamond"/>
          <w:sz w:val="24"/>
          <w:szCs w:val="24"/>
        </w:rPr>
      </w:pPr>
    </w:p>
    <w:p w:rsidR="006B3CC7" w:rsidRDefault="006B3CC7" w:rsidP="00C26A15">
      <w:pPr>
        <w:spacing w:after="0" w:line="240" w:lineRule="auto"/>
        <w:jc w:val="both"/>
        <w:rPr>
          <w:rFonts w:ascii="Garamond" w:hAnsi="Garamond"/>
          <w:sz w:val="24"/>
          <w:szCs w:val="24"/>
        </w:rPr>
      </w:pPr>
    </w:p>
    <w:p w:rsidR="007C4F08" w:rsidRDefault="007C4F08" w:rsidP="00C26A15">
      <w:pPr>
        <w:spacing w:after="0" w:line="240" w:lineRule="auto"/>
        <w:jc w:val="both"/>
        <w:rPr>
          <w:rFonts w:ascii="Garamond" w:hAnsi="Garamond"/>
          <w:sz w:val="24"/>
          <w:szCs w:val="24"/>
        </w:rPr>
      </w:pPr>
    </w:p>
    <w:p w:rsidR="007C4F08" w:rsidRDefault="007C4F08" w:rsidP="00C26A15">
      <w:pPr>
        <w:spacing w:after="0" w:line="240" w:lineRule="auto"/>
        <w:jc w:val="both"/>
        <w:rPr>
          <w:rFonts w:ascii="Garamond" w:hAnsi="Garamond"/>
          <w:sz w:val="24"/>
          <w:szCs w:val="24"/>
        </w:rPr>
      </w:pPr>
    </w:p>
    <w:p w:rsidR="007C4F08" w:rsidRDefault="007C4F08" w:rsidP="00C26A15">
      <w:pPr>
        <w:spacing w:after="0" w:line="240" w:lineRule="auto"/>
        <w:jc w:val="both"/>
        <w:rPr>
          <w:rFonts w:ascii="Garamond" w:hAnsi="Garamond"/>
          <w:sz w:val="24"/>
          <w:szCs w:val="24"/>
        </w:rPr>
      </w:pPr>
    </w:p>
    <w:p w:rsidR="008046F4" w:rsidRPr="00121285" w:rsidRDefault="00121285" w:rsidP="00C26A15">
      <w:pPr>
        <w:pStyle w:val="Caption"/>
        <w:spacing w:after="0"/>
        <w:rPr>
          <w:rFonts w:ascii="Garamond" w:hAnsi="Garamond"/>
          <w:sz w:val="22"/>
          <w:szCs w:val="22"/>
        </w:rPr>
      </w:pPr>
      <w:bookmarkStart w:id="50" w:name="_Toc486585944"/>
      <w:r w:rsidRPr="00121285">
        <w:rPr>
          <w:rFonts w:ascii="Garamond" w:hAnsi="Garamond"/>
          <w:sz w:val="22"/>
          <w:szCs w:val="22"/>
        </w:rPr>
        <w:t xml:space="preserve">Figure </w:t>
      </w:r>
      <w:r w:rsidR="00BF3BBC" w:rsidRPr="00121285">
        <w:rPr>
          <w:rFonts w:ascii="Garamond" w:hAnsi="Garamond"/>
          <w:sz w:val="22"/>
          <w:szCs w:val="22"/>
        </w:rPr>
        <w:fldChar w:fldCharType="begin"/>
      </w:r>
      <w:r w:rsidRPr="00121285">
        <w:rPr>
          <w:rFonts w:ascii="Garamond" w:hAnsi="Garamond"/>
          <w:sz w:val="22"/>
          <w:szCs w:val="22"/>
        </w:rPr>
        <w:instrText xml:space="preserve"> SEQ Figure \* ARABIC </w:instrText>
      </w:r>
      <w:r w:rsidR="00BF3BBC" w:rsidRPr="00121285">
        <w:rPr>
          <w:rFonts w:ascii="Garamond" w:hAnsi="Garamond"/>
          <w:sz w:val="22"/>
          <w:szCs w:val="22"/>
        </w:rPr>
        <w:fldChar w:fldCharType="separate"/>
      </w:r>
      <w:r w:rsidR="006C24A4">
        <w:rPr>
          <w:rFonts w:ascii="Garamond" w:hAnsi="Garamond"/>
          <w:noProof/>
          <w:sz w:val="22"/>
          <w:szCs w:val="22"/>
        </w:rPr>
        <w:t>9</w:t>
      </w:r>
      <w:r w:rsidR="00BF3BBC" w:rsidRPr="00121285">
        <w:rPr>
          <w:rFonts w:ascii="Garamond" w:hAnsi="Garamond"/>
          <w:sz w:val="22"/>
          <w:szCs w:val="22"/>
        </w:rPr>
        <w:fldChar w:fldCharType="end"/>
      </w:r>
      <w:r w:rsidR="008046F4" w:rsidRPr="00121285">
        <w:rPr>
          <w:rFonts w:ascii="Garamond" w:hAnsi="Garamond"/>
          <w:sz w:val="22"/>
          <w:szCs w:val="22"/>
        </w:rPr>
        <w:t>: Share of tax and non-tax revenues in GDP (Percent)</w:t>
      </w:r>
      <w:bookmarkEnd w:id="50"/>
    </w:p>
    <w:p w:rsidR="008046F4" w:rsidRPr="00EA1FC3" w:rsidRDefault="008046F4" w:rsidP="00C26A15">
      <w:pPr>
        <w:autoSpaceDE w:val="0"/>
        <w:autoSpaceDN w:val="0"/>
        <w:adjustRightInd w:val="0"/>
        <w:spacing w:after="0" w:line="240" w:lineRule="auto"/>
        <w:jc w:val="both"/>
        <w:rPr>
          <w:rFonts w:ascii="Garamond" w:hAnsi="Garamond"/>
        </w:rPr>
      </w:pPr>
      <w:r>
        <w:rPr>
          <w:noProof/>
        </w:rPr>
        <w:drawing>
          <wp:inline distT="0" distB="0" distL="0" distR="0">
            <wp:extent cx="5897880" cy="2103120"/>
            <wp:effectExtent l="0" t="0" r="7620" b="114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46F4" w:rsidRPr="00EA1FC3" w:rsidRDefault="008046F4" w:rsidP="00C26A15">
      <w:pPr>
        <w:spacing w:after="0" w:line="240" w:lineRule="auto"/>
        <w:jc w:val="both"/>
        <w:rPr>
          <w:rFonts w:ascii="Garamond" w:hAnsi="Garamond" w:cs="Arial"/>
        </w:rPr>
      </w:pPr>
      <w:r w:rsidRPr="00EA1FC3">
        <w:rPr>
          <w:rFonts w:ascii="Garamond" w:hAnsi="Garamond" w:cs="Arial"/>
        </w:rPr>
        <w:t>Source: Based on MoFEC data</w:t>
      </w:r>
    </w:p>
    <w:p w:rsidR="008046F4" w:rsidRDefault="008046F4" w:rsidP="00C26A15">
      <w:pPr>
        <w:spacing w:after="0" w:line="240" w:lineRule="auto"/>
        <w:jc w:val="both"/>
        <w:rPr>
          <w:rFonts w:ascii="Garamond" w:hAnsi="Garamond" w:cs="Arial"/>
          <w:sz w:val="24"/>
          <w:szCs w:val="24"/>
        </w:rPr>
      </w:pPr>
      <w:r w:rsidRPr="00BD344F">
        <w:rPr>
          <w:rFonts w:ascii="Garamond" w:hAnsi="Garamond" w:cs="Arial"/>
          <w:color w:val="000000"/>
          <w:sz w:val="24"/>
          <w:szCs w:val="24"/>
        </w:rPr>
        <w:t xml:space="preserve">According to recent study by IFC (2016), the majority of tax payers indicated that the process of complying with taxation is perceived to be more burdensome than the </w:t>
      </w:r>
      <w:r>
        <w:rPr>
          <w:rFonts w:ascii="Garamond" w:hAnsi="Garamond" w:cs="Arial"/>
          <w:color w:val="000000"/>
          <w:sz w:val="24"/>
          <w:szCs w:val="24"/>
        </w:rPr>
        <w:t xml:space="preserve">actual tax due, indicating high tax compliance cost. </w:t>
      </w:r>
      <w:r>
        <w:rPr>
          <w:rFonts w:ascii="Garamond" w:hAnsi="Garamond"/>
          <w:sz w:val="24"/>
          <w:szCs w:val="24"/>
        </w:rPr>
        <w:t xml:space="preserve">The </w:t>
      </w:r>
      <w:r w:rsidRPr="004B3861">
        <w:rPr>
          <w:rFonts w:ascii="Garamond" w:hAnsi="Garamond"/>
          <w:sz w:val="24"/>
          <w:szCs w:val="24"/>
        </w:rPr>
        <w:t>tax compliance cost, which consists of outsourcing and in-house costs, is high in Ethiopia</w:t>
      </w:r>
      <w:r>
        <w:rPr>
          <w:rFonts w:ascii="Garamond" w:hAnsi="Garamond"/>
          <w:sz w:val="24"/>
          <w:szCs w:val="24"/>
        </w:rPr>
        <w:t xml:space="preserve">. </w:t>
      </w:r>
      <w:r w:rsidRPr="00040B3F">
        <w:rPr>
          <w:rFonts w:ascii="Garamond" w:hAnsi="Garamond" w:cs="Arial"/>
          <w:color w:val="000000"/>
          <w:sz w:val="24"/>
          <w:szCs w:val="24"/>
        </w:rPr>
        <w:t>The total tax compliance cost was estimated to be between 4.5 and 5.8 percent of Ethiopia’s total government revenue in 2012/13 and about one percent of GDP during the same year</w:t>
      </w:r>
      <w:r w:rsidRPr="00BD344F">
        <w:rPr>
          <w:rFonts w:ascii="Garamond" w:hAnsi="Garamond" w:cs="Arial"/>
          <w:color w:val="000000"/>
          <w:sz w:val="24"/>
          <w:szCs w:val="24"/>
        </w:rPr>
        <w:t xml:space="preserve"> </w:t>
      </w:r>
      <w:r>
        <w:rPr>
          <w:rFonts w:ascii="Garamond" w:hAnsi="Garamond" w:cs="Arial"/>
          <w:color w:val="000000"/>
          <w:sz w:val="24"/>
          <w:szCs w:val="24"/>
        </w:rPr>
        <w:t>(</w:t>
      </w:r>
      <w:r w:rsidRPr="00BD344F">
        <w:rPr>
          <w:rFonts w:ascii="Garamond" w:hAnsi="Garamond" w:cs="Arial"/>
          <w:color w:val="000000"/>
          <w:sz w:val="24"/>
          <w:szCs w:val="24"/>
        </w:rPr>
        <w:t>IFC</w:t>
      </w:r>
      <w:r>
        <w:rPr>
          <w:rFonts w:ascii="Garamond" w:hAnsi="Garamond" w:cs="Arial"/>
          <w:color w:val="000000"/>
          <w:sz w:val="24"/>
          <w:szCs w:val="24"/>
        </w:rPr>
        <w:t xml:space="preserve">, </w:t>
      </w:r>
      <w:r w:rsidRPr="00BD344F">
        <w:rPr>
          <w:rFonts w:ascii="Garamond" w:hAnsi="Garamond" w:cs="Arial"/>
          <w:color w:val="000000"/>
          <w:sz w:val="24"/>
          <w:szCs w:val="24"/>
        </w:rPr>
        <w:t>2016)</w:t>
      </w:r>
      <w:r w:rsidRPr="00040B3F">
        <w:rPr>
          <w:rFonts w:ascii="Garamond" w:hAnsi="Garamond" w:cs="Arial"/>
          <w:color w:val="000000"/>
          <w:sz w:val="24"/>
          <w:szCs w:val="24"/>
        </w:rPr>
        <w:t>.</w:t>
      </w:r>
      <w:r>
        <w:rPr>
          <w:rFonts w:ascii="Arial" w:hAnsi="Arial" w:cs="Arial"/>
          <w:color w:val="000000"/>
          <w:sz w:val="24"/>
          <w:szCs w:val="24"/>
        </w:rPr>
        <w:t xml:space="preserve"> </w:t>
      </w:r>
      <w:r w:rsidRPr="00FE172B">
        <w:rPr>
          <w:rFonts w:ascii="Garamond" w:hAnsi="Garamond"/>
          <w:sz w:val="24"/>
          <w:szCs w:val="24"/>
        </w:rPr>
        <w:t>T</w:t>
      </w:r>
      <w:r w:rsidRPr="00FE172B">
        <w:rPr>
          <w:rFonts w:ascii="Garamond" w:hAnsi="Garamond" w:cs="Arial"/>
          <w:sz w:val="24"/>
          <w:szCs w:val="24"/>
        </w:rPr>
        <w:t xml:space="preserve">he average tax compliance cost of a business as a share of turnover was in the range of 4.7-5.4 percent </w:t>
      </w:r>
      <w:r>
        <w:rPr>
          <w:rFonts w:ascii="Garamond" w:hAnsi="Garamond" w:cs="Arial"/>
          <w:sz w:val="24"/>
          <w:szCs w:val="24"/>
        </w:rPr>
        <w:t xml:space="preserve">in </w:t>
      </w:r>
      <w:r w:rsidRPr="00FE172B">
        <w:rPr>
          <w:rFonts w:ascii="Garamond" w:hAnsi="Garamond" w:cs="Arial"/>
          <w:sz w:val="24"/>
          <w:szCs w:val="24"/>
        </w:rPr>
        <w:t>2012/13.</w:t>
      </w:r>
      <w:r>
        <w:rPr>
          <w:rStyle w:val="FootnoteReference"/>
          <w:rFonts w:ascii="Garamond" w:hAnsi="Garamond" w:cs="Arial"/>
          <w:sz w:val="24"/>
          <w:szCs w:val="24"/>
        </w:rPr>
        <w:footnoteReference w:id="14"/>
      </w:r>
      <w:r w:rsidRPr="00FE172B">
        <w:rPr>
          <w:rFonts w:ascii="Garamond" w:hAnsi="Garamond" w:cs="Arial"/>
          <w:sz w:val="24"/>
          <w:szCs w:val="24"/>
        </w:rPr>
        <w:t xml:space="preserve"> </w:t>
      </w:r>
      <w:r>
        <w:rPr>
          <w:rFonts w:ascii="Garamond" w:hAnsi="Garamond" w:cs="Arial"/>
          <w:sz w:val="24"/>
          <w:szCs w:val="24"/>
        </w:rPr>
        <w:t xml:space="preserve">The tax compliance cost </w:t>
      </w:r>
      <w:r w:rsidRPr="00062F6E">
        <w:rPr>
          <w:rFonts w:ascii="Garamond" w:hAnsi="Garamond" w:cs="Arial"/>
          <w:sz w:val="24"/>
          <w:szCs w:val="24"/>
        </w:rPr>
        <w:t xml:space="preserve">as a share of turnover </w:t>
      </w:r>
      <w:r>
        <w:rPr>
          <w:rFonts w:ascii="Garamond" w:hAnsi="Garamond" w:cs="Arial"/>
          <w:sz w:val="24"/>
          <w:szCs w:val="24"/>
        </w:rPr>
        <w:t>is relatively high for s</w:t>
      </w:r>
      <w:r w:rsidRPr="00062F6E">
        <w:rPr>
          <w:rFonts w:ascii="Garamond" w:hAnsi="Garamond" w:cs="Arial"/>
          <w:sz w:val="24"/>
          <w:szCs w:val="24"/>
        </w:rPr>
        <w:t>mall businesses compared with large businesses</w:t>
      </w:r>
      <w:r w:rsidR="007F78EE">
        <w:rPr>
          <w:rFonts w:ascii="Garamond" w:hAnsi="Garamond" w:cs="Arial"/>
          <w:sz w:val="24"/>
          <w:szCs w:val="24"/>
        </w:rPr>
        <w:t xml:space="preserve">; </w:t>
      </w:r>
      <w:r>
        <w:rPr>
          <w:rFonts w:ascii="Garamond" w:hAnsi="Garamond" w:cs="Arial"/>
          <w:sz w:val="24"/>
          <w:szCs w:val="24"/>
        </w:rPr>
        <w:t>t</w:t>
      </w:r>
      <w:r w:rsidRPr="00062F6E">
        <w:rPr>
          <w:rFonts w:ascii="Garamond" w:hAnsi="Garamond" w:cs="Arial"/>
          <w:sz w:val="24"/>
          <w:szCs w:val="24"/>
        </w:rPr>
        <w:t xml:space="preserve">ax compliance cost as a share of turnover tends to decrease </w:t>
      </w:r>
      <w:r w:rsidR="000F6014">
        <w:rPr>
          <w:rFonts w:ascii="Garamond" w:hAnsi="Garamond" w:cs="Arial"/>
          <w:sz w:val="24"/>
          <w:szCs w:val="24"/>
        </w:rPr>
        <w:t xml:space="preserve">with turnover, </w:t>
      </w:r>
      <w:r w:rsidRPr="00062F6E">
        <w:rPr>
          <w:rFonts w:ascii="Garamond" w:hAnsi="Garamond" w:cs="Arial"/>
          <w:sz w:val="24"/>
          <w:szCs w:val="24"/>
        </w:rPr>
        <w:t>suggesting that it is regressive.</w:t>
      </w:r>
      <w:r>
        <w:rPr>
          <w:rStyle w:val="FootnoteReference"/>
          <w:rFonts w:ascii="Garamond" w:hAnsi="Garamond" w:cs="Arial"/>
          <w:sz w:val="24"/>
          <w:szCs w:val="24"/>
        </w:rPr>
        <w:footnoteReference w:id="15"/>
      </w:r>
      <w:r>
        <w:rPr>
          <w:rFonts w:ascii="Garamond" w:hAnsi="Garamond" w:cs="Arial"/>
          <w:sz w:val="24"/>
          <w:szCs w:val="24"/>
        </w:rPr>
        <w:t xml:space="preserve"> In absolute levels, large companies face large tax compliance cost. For instance, </w:t>
      </w:r>
      <w:r w:rsidRPr="00040B3F">
        <w:rPr>
          <w:rFonts w:ascii="Garamond" w:hAnsi="Garamond" w:cs="Arial"/>
          <w:sz w:val="24"/>
          <w:szCs w:val="24"/>
        </w:rPr>
        <w:t>tax compliance cost for category A businesses is well over five times the cost for category C businesses.</w:t>
      </w:r>
    </w:p>
    <w:p w:rsidR="007C4F08" w:rsidRDefault="008046F4" w:rsidP="00C26A15">
      <w:pPr>
        <w:keepNext/>
        <w:keepLines/>
        <w:spacing w:after="0" w:line="240" w:lineRule="auto"/>
        <w:jc w:val="both"/>
        <w:rPr>
          <w:rFonts w:ascii="Garamond" w:hAnsi="Garamond" w:cs="Arial"/>
          <w:sz w:val="24"/>
          <w:szCs w:val="24"/>
        </w:rPr>
      </w:pPr>
      <w:r w:rsidRPr="007C0837">
        <w:rPr>
          <w:rFonts w:ascii="Garamond" w:hAnsi="Garamond" w:cs="Arial"/>
          <w:sz w:val="24"/>
          <w:szCs w:val="24"/>
        </w:rPr>
        <w:t xml:space="preserve">Tax compliance cost in Ethiopia is high even compared with other countries such as Kenya, South Africa, Ukraine, Nepal and Georgia (Figure </w:t>
      </w:r>
      <w:r w:rsidR="00FD0262">
        <w:rPr>
          <w:rFonts w:ascii="Garamond" w:hAnsi="Garamond" w:cs="Arial"/>
          <w:sz w:val="24"/>
          <w:szCs w:val="24"/>
        </w:rPr>
        <w:t>1</w:t>
      </w:r>
      <w:r w:rsidR="007C4F08">
        <w:rPr>
          <w:rFonts w:ascii="Garamond" w:hAnsi="Garamond" w:cs="Arial"/>
          <w:sz w:val="24"/>
          <w:szCs w:val="24"/>
        </w:rPr>
        <w:t>5</w:t>
      </w:r>
      <w:r w:rsidRPr="007C0837">
        <w:rPr>
          <w:rFonts w:ascii="Garamond" w:hAnsi="Garamond" w:cs="Arial"/>
          <w:sz w:val="24"/>
          <w:szCs w:val="24"/>
        </w:rPr>
        <w:t>).</w:t>
      </w:r>
    </w:p>
    <w:p w:rsidR="007C4F08" w:rsidRDefault="007C4F08">
      <w:pPr>
        <w:spacing w:after="160" w:line="259" w:lineRule="auto"/>
        <w:rPr>
          <w:rFonts w:ascii="Garamond" w:hAnsi="Garamond" w:cs="Arial"/>
          <w:sz w:val="24"/>
          <w:szCs w:val="24"/>
        </w:rPr>
      </w:pPr>
      <w:r>
        <w:rPr>
          <w:rFonts w:ascii="Garamond" w:hAnsi="Garamond" w:cs="Arial"/>
          <w:sz w:val="24"/>
          <w:szCs w:val="24"/>
        </w:rPr>
        <w:br w:type="page"/>
      </w:r>
    </w:p>
    <w:p w:rsidR="008046F4" w:rsidRPr="00121285" w:rsidRDefault="008046F4" w:rsidP="00C26A15">
      <w:pPr>
        <w:pStyle w:val="Caption"/>
        <w:spacing w:after="0"/>
        <w:rPr>
          <w:rFonts w:ascii="Garamond" w:hAnsi="Garamond" w:cs="Arial"/>
          <w:b w:val="0"/>
          <w:color w:val="17365D"/>
          <w:sz w:val="22"/>
          <w:szCs w:val="22"/>
        </w:rPr>
      </w:pPr>
      <w:bookmarkStart w:id="51" w:name="_Toc486585945"/>
      <w:r w:rsidRPr="00121285">
        <w:rPr>
          <w:rFonts w:ascii="Garamond" w:hAnsi="Garamond" w:cs="Arial"/>
          <w:color w:val="17365D"/>
          <w:sz w:val="22"/>
          <w:szCs w:val="22"/>
        </w:rPr>
        <w:lastRenderedPageBreak/>
        <w:t>Figure</w:t>
      </w:r>
      <w:r w:rsidR="00121285" w:rsidRPr="00121285">
        <w:rPr>
          <w:rFonts w:ascii="Garamond" w:hAnsi="Garamond"/>
          <w:sz w:val="22"/>
          <w:szCs w:val="22"/>
        </w:rPr>
        <w:t xml:space="preserve"> </w:t>
      </w:r>
      <w:r w:rsidR="00BF3BBC" w:rsidRPr="00121285">
        <w:rPr>
          <w:rFonts w:ascii="Garamond" w:hAnsi="Garamond"/>
          <w:sz w:val="22"/>
          <w:szCs w:val="22"/>
        </w:rPr>
        <w:fldChar w:fldCharType="begin"/>
      </w:r>
      <w:r w:rsidR="00121285" w:rsidRPr="00121285">
        <w:rPr>
          <w:rFonts w:ascii="Garamond" w:hAnsi="Garamond"/>
          <w:sz w:val="22"/>
          <w:szCs w:val="22"/>
        </w:rPr>
        <w:instrText xml:space="preserve"> SEQ Figure \* ARABIC </w:instrText>
      </w:r>
      <w:r w:rsidR="00BF3BBC" w:rsidRPr="00121285">
        <w:rPr>
          <w:rFonts w:ascii="Garamond" w:hAnsi="Garamond"/>
          <w:sz w:val="22"/>
          <w:szCs w:val="22"/>
        </w:rPr>
        <w:fldChar w:fldCharType="separate"/>
      </w:r>
      <w:r w:rsidR="006C24A4">
        <w:rPr>
          <w:rFonts w:ascii="Garamond" w:hAnsi="Garamond"/>
          <w:noProof/>
          <w:sz w:val="22"/>
          <w:szCs w:val="22"/>
        </w:rPr>
        <w:t>10</w:t>
      </w:r>
      <w:r w:rsidR="00BF3BBC" w:rsidRPr="00121285">
        <w:rPr>
          <w:rFonts w:ascii="Garamond" w:hAnsi="Garamond"/>
          <w:sz w:val="22"/>
          <w:szCs w:val="22"/>
        </w:rPr>
        <w:fldChar w:fldCharType="end"/>
      </w:r>
      <w:r w:rsidRPr="00121285">
        <w:rPr>
          <w:rFonts w:ascii="Garamond" w:hAnsi="Garamond" w:cs="Arial"/>
          <w:color w:val="17365D"/>
          <w:sz w:val="22"/>
          <w:szCs w:val="22"/>
        </w:rPr>
        <w:t>: International comparison of tax compliance costs</w:t>
      </w:r>
      <w:bookmarkEnd w:id="51"/>
      <w:r w:rsidRPr="00121285">
        <w:rPr>
          <w:rFonts w:ascii="Garamond" w:hAnsi="Garamond" w:cs="Arial"/>
          <w:color w:val="17365D"/>
          <w:sz w:val="22"/>
          <w:szCs w:val="22"/>
        </w:rPr>
        <w:t xml:space="preserve"> </w:t>
      </w:r>
    </w:p>
    <w:p w:rsidR="008046F4" w:rsidRPr="00994DBC" w:rsidRDefault="008046F4" w:rsidP="00C26A15">
      <w:pPr>
        <w:keepNext/>
        <w:keepLines/>
        <w:spacing w:after="0" w:line="240" w:lineRule="auto"/>
        <w:jc w:val="both"/>
        <w:rPr>
          <w:rFonts w:ascii="Arial" w:hAnsi="Arial" w:cs="Arial"/>
          <w:sz w:val="24"/>
          <w:szCs w:val="24"/>
        </w:rPr>
      </w:pPr>
      <w:r>
        <w:rPr>
          <w:rFonts w:ascii="Arial" w:hAnsi="Arial" w:cs="Arial"/>
          <w:b/>
          <w:noProof/>
          <w:sz w:val="24"/>
          <w:szCs w:val="24"/>
        </w:rPr>
        <w:drawing>
          <wp:inline distT="0" distB="0" distL="0" distR="0">
            <wp:extent cx="5476875" cy="1562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6875" cy="1562100"/>
                    </a:xfrm>
                    <a:prstGeom prst="rect">
                      <a:avLst/>
                    </a:prstGeom>
                    <a:noFill/>
                  </pic:spPr>
                </pic:pic>
              </a:graphicData>
            </a:graphic>
          </wp:inline>
        </w:drawing>
      </w:r>
    </w:p>
    <w:p w:rsidR="008046F4" w:rsidRDefault="008046F4" w:rsidP="00C26A15">
      <w:pPr>
        <w:autoSpaceDE w:val="0"/>
        <w:autoSpaceDN w:val="0"/>
        <w:adjustRightInd w:val="0"/>
        <w:spacing w:after="0" w:line="240" w:lineRule="auto"/>
        <w:jc w:val="both"/>
        <w:rPr>
          <w:rFonts w:ascii="Garamond" w:hAnsi="Garamond" w:cs="Arial"/>
          <w:sz w:val="24"/>
          <w:szCs w:val="24"/>
        </w:rPr>
      </w:pPr>
      <w:r>
        <w:rPr>
          <w:rFonts w:ascii="Garamond" w:hAnsi="Garamond" w:cs="Arial"/>
          <w:sz w:val="24"/>
          <w:szCs w:val="24"/>
        </w:rPr>
        <w:t>Source: IFC (2016)</w:t>
      </w:r>
    </w:p>
    <w:p w:rsidR="00340D23" w:rsidRDefault="008046F4" w:rsidP="00D850A5">
      <w:pPr>
        <w:autoSpaceDE w:val="0"/>
        <w:autoSpaceDN w:val="0"/>
        <w:adjustRightInd w:val="0"/>
        <w:spacing w:after="0" w:line="240" w:lineRule="auto"/>
        <w:jc w:val="both"/>
      </w:pPr>
      <w:r w:rsidRPr="00E537D4">
        <w:rPr>
          <w:rFonts w:ascii="Garamond" w:hAnsi="Garamond" w:cs="Arial"/>
          <w:sz w:val="24"/>
          <w:szCs w:val="24"/>
        </w:rPr>
        <w:t>The main barriers for hindering businesses not registering for taxes include high tax burden and high tax rates</w:t>
      </w:r>
      <w:r>
        <w:rPr>
          <w:rFonts w:ascii="Garamond" w:hAnsi="Garamond" w:cs="Arial"/>
          <w:sz w:val="24"/>
          <w:szCs w:val="24"/>
        </w:rPr>
        <w:t xml:space="preserve">. While about 34 percent of </w:t>
      </w:r>
      <w:r w:rsidRPr="00D57E39">
        <w:rPr>
          <w:rFonts w:ascii="Garamond" w:hAnsi="Garamond" w:cs="Arial"/>
          <w:sz w:val="24"/>
          <w:szCs w:val="24"/>
        </w:rPr>
        <w:t>businesses perceive</w:t>
      </w:r>
      <w:r>
        <w:rPr>
          <w:rFonts w:ascii="Garamond" w:hAnsi="Garamond" w:cs="Arial"/>
          <w:sz w:val="24"/>
          <w:szCs w:val="24"/>
        </w:rPr>
        <w:t>d</w:t>
      </w:r>
      <w:r w:rsidRPr="00D57E39">
        <w:rPr>
          <w:rFonts w:ascii="Garamond" w:hAnsi="Garamond" w:cs="Arial"/>
          <w:sz w:val="24"/>
          <w:szCs w:val="24"/>
        </w:rPr>
        <w:t xml:space="preserve"> higher tax burden or high tax rates</w:t>
      </w:r>
      <w:r>
        <w:rPr>
          <w:rFonts w:ascii="Garamond" w:hAnsi="Garamond" w:cs="Arial"/>
          <w:sz w:val="24"/>
          <w:szCs w:val="24"/>
        </w:rPr>
        <w:t xml:space="preserve">, close to 13 percent perceived </w:t>
      </w:r>
      <w:r w:rsidRPr="00D57E39">
        <w:rPr>
          <w:rFonts w:ascii="Garamond" w:hAnsi="Garamond" w:cs="Arial"/>
          <w:sz w:val="24"/>
          <w:szCs w:val="24"/>
        </w:rPr>
        <w:t>complicated tax compliance procedures</w:t>
      </w:r>
      <w:r>
        <w:rPr>
          <w:rFonts w:ascii="Garamond" w:hAnsi="Garamond" w:cs="Arial"/>
          <w:sz w:val="24"/>
          <w:szCs w:val="24"/>
        </w:rPr>
        <w:t xml:space="preserve"> as </w:t>
      </w:r>
      <w:r w:rsidRPr="00D57E39">
        <w:rPr>
          <w:rFonts w:ascii="Garamond" w:hAnsi="Garamond" w:cs="Arial"/>
          <w:sz w:val="24"/>
          <w:szCs w:val="24"/>
        </w:rPr>
        <w:t>the disadvantages of registering for taxes</w:t>
      </w:r>
      <w:r>
        <w:rPr>
          <w:rFonts w:ascii="Garamond" w:hAnsi="Garamond" w:cs="Arial"/>
          <w:sz w:val="24"/>
          <w:szCs w:val="24"/>
        </w:rPr>
        <w:t xml:space="preserve"> (IFC, 2016)</w:t>
      </w:r>
      <w:r w:rsidRPr="00D57E39">
        <w:rPr>
          <w:rFonts w:ascii="Garamond" w:hAnsi="Garamond" w:cs="Arial"/>
          <w:sz w:val="24"/>
          <w:szCs w:val="24"/>
        </w:rPr>
        <w:t>.</w:t>
      </w:r>
      <w:r>
        <w:rPr>
          <w:rFonts w:ascii="Garamond" w:hAnsi="Garamond" w:cs="Arial"/>
          <w:sz w:val="24"/>
          <w:szCs w:val="24"/>
        </w:rPr>
        <w:t xml:space="preserve"> Underreporting of taxable incomes or inflating expenditures are some of the methods used by firms to evade taxes.</w:t>
      </w:r>
      <w:r w:rsidRPr="007A6BDD">
        <w:rPr>
          <w:rFonts w:ascii="Garamond" w:hAnsi="Garamond"/>
          <w:sz w:val="24"/>
          <w:szCs w:val="24"/>
        </w:rPr>
        <w:t xml:space="preserve"> </w:t>
      </w:r>
      <w:r w:rsidR="00C718C6">
        <w:rPr>
          <w:rFonts w:ascii="Garamond" w:hAnsi="Garamond"/>
          <w:sz w:val="24"/>
          <w:szCs w:val="24"/>
        </w:rPr>
        <w:t xml:space="preserve">The recent study </w:t>
      </w:r>
      <w:r>
        <w:rPr>
          <w:rFonts w:ascii="Garamond" w:hAnsi="Garamond"/>
          <w:sz w:val="24"/>
          <w:szCs w:val="24"/>
        </w:rPr>
        <w:t xml:space="preserve">also indicates that business firms in Ethiopia declare on </w:t>
      </w:r>
      <w:r w:rsidRPr="008B78CF">
        <w:rPr>
          <w:rFonts w:ascii="Garamond" w:hAnsi="Garamond"/>
          <w:sz w:val="24"/>
          <w:szCs w:val="24"/>
        </w:rPr>
        <w:t>average</w:t>
      </w:r>
      <w:r>
        <w:rPr>
          <w:rFonts w:ascii="Garamond" w:hAnsi="Garamond"/>
          <w:sz w:val="24"/>
          <w:szCs w:val="24"/>
        </w:rPr>
        <w:t xml:space="preserve"> </w:t>
      </w:r>
      <w:r w:rsidRPr="008B78CF">
        <w:rPr>
          <w:rFonts w:ascii="Garamond" w:hAnsi="Garamond"/>
          <w:sz w:val="24"/>
          <w:szCs w:val="24"/>
        </w:rPr>
        <w:t>5</w:t>
      </w:r>
      <w:r w:rsidR="000F6014">
        <w:rPr>
          <w:rFonts w:ascii="Garamond" w:hAnsi="Garamond"/>
          <w:sz w:val="24"/>
          <w:szCs w:val="24"/>
        </w:rPr>
        <w:t>3</w:t>
      </w:r>
      <w:r w:rsidRPr="008B78CF">
        <w:rPr>
          <w:rFonts w:ascii="Garamond" w:hAnsi="Garamond"/>
          <w:sz w:val="24"/>
          <w:szCs w:val="24"/>
        </w:rPr>
        <w:t xml:space="preserve"> percent of their total annual </w:t>
      </w:r>
      <w:r>
        <w:rPr>
          <w:rFonts w:ascii="Garamond" w:hAnsi="Garamond"/>
          <w:sz w:val="24"/>
          <w:szCs w:val="24"/>
        </w:rPr>
        <w:t xml:space="preserve">sales </w:t>
      </w:r>
      <w:r w:rsidRPr="008B78CF">
        <w:rPr>
          <w:rFonts w:ascii="Garamond" w:hAnsi="Garamond"/>
          <w:sz w:val="24"/>
          <w:szCs w:val="24"/>
        </w:rPr>
        <w:t>for tax purposes.</w:t>
      </w:r>
      <w:r>
        <w:rPr>
          <w:rFonts w:ascii="Garamond" w:hAnsi="Garamond"/>
          <w:sz w:val="24"/>
          <w:szCs w:val="24"/>
        </w:rPr>
        <w:t xml:space="preserve"> Similarly, businesses </w:t>
      </w:r>
      <w:r w:rsidRPr="008B78CF">
        <w:rPr>
          <w:rFonts w:ascii="Garamond" w:hAnsi="Garamond"/>
          <w:sz w:val="24"/>
          <w:szCs w:val="24"/>
        </w:rPr>
        <w:t xml:space="preserve">overstated </w:t>
      </w:r>
      <w:r>
        <w:rPr>
          <w:rFonts w:ascii="Garamond" w:hAnsi="Garamond"/>
          <w:sz w:val="24"/>
          <w:szCs w:val="24"/>
        </w:rPr>
        <w:t xml:space="preserve">by </w:t>
      </w:r>
      <w:r w:rsidRPr="008B78CF">
        <w:rPr>
          <w:rFonts w:ascii="Garamond" w:hAnsi="Garamond"/>
          <w:sz w:val="24"/>
          <w:szCs w:val="24"/>
        </w:rPr>
        <w:t xml:space="preserve">about </w:t>
      </w:r>
      <w:r>
        <w:rPr>
          <w:rFonts w:ascii="Garamond" w:hAnsi="Garamond"/>
          <w:sz w:val="24"/>
          <w:szCs w:val="24"/>
        </w:rPr>
        <w:t>38.4</w:t>
      </w:r>
      <w:r w:rsidRPr="008B78CF">
        <w:rPr>
          <w:rFonts w:ascii="Garamond" w:hAnsi="Garamond"/>
          <w:sz w:val="24"/>
          <w:szCs w:val="24"/>
        </w:rPr>
        <w:t xml:space="preserve"> percent of their act</w:t>
      </w:r>
      <w:r>
        <w:rPr>
          <w:rFonts w:ascii="Garamond" w:hAnsi="Garamond"/>
          <w:sz w:val="24"/>
          <w:szCs w:val="24"/>
        </w:rPr>
        <w:t xml:space="preserve">ual expenditures in tax returns. </w:t>
      </w:r>
      <w:r w:rsidR="00BF68FA">
        <w:rPr>
          <w:rFonts w:ascii="Garamond" w:hAnsi="Garamond"/>
          <w:sz w:val="24"/>
          <w:szCs w:val="24"/>
        </w:rPr>
        <w:t>In particular, l</w:t>
      </w:r>
      <w:r>
        <w:rPr>
          <w:rFonts w:ascii="Garamond" w:hAnsi="Garamond"/>
          <w:sz w:val="24"/>
          <w:szCs w:val="24"/>
        </w:rPr>
        <w:t xml:space="preserve">arge taxpayers overstated their annual expenditures for tax purposes compared with small and medium size businesses. </w:t>
      </w:r>
      <w:r w:rsidRPr="00C24539">
        <w:rPr>
          <w:rFonts w:ascii="Garamond" w:hAnsi="Garamond"/>
          <w:sz w:val="24"/>
          <w:szCs w:val="24"/>
        </w:rPr>
        <w:t>There is also</w:t>
      </w:r>
      <w:r>
        <w:rPr>
          <w:rFonts w:ascii="Garamond" w:hAnsi="Garamond"/>
          <w:sz w:val="24"/>
          <w:szCs w:val="24"/>
        </w:rPr>
        <w:t xml:space="preserve"> </w:t>
      </w:r>
      <w:r w:rsidRPr="00C24539">
        <w:rPr>
          <w:rFonts w:ascii="Garamond" w:hAnsi="Garamond"/>
          <w:sz w:val="24"/>
          <w:szCs w:val="24"/>
        </w:rPr>
        <w:t>a wide gap between tax capacity and actual tax revenues raised due to tax-administration challenges.</w:t>
      </w:r>
      <w:r>
        <w:rPr>
          <w:rFonts w:ascii="Garamond" w:hAnsi="Garamond"/>
          <w:sz w:val="24"/>
          <w:szCs w:val="24"/>
        </w:rPr>
        <w:t xml:space="preserve"> Together</w:t>
      </w:r>
      <w:r w:rsidR="005F5162">
        <w:rPr>
          <w:rFonts w:ascii="Garamond" w:hAnsi="Garamond"/>
          <w:sz w:val="24"/>
          <w:szCs w:val="24"/>
        </w:rPr>
        <w:t>,</w:t>
      </w:r>
      <w:r>
        <w:rPr>
          <w:rFonts w:ascii="Garamond" w:hAnsi="Garamond"/>
          <w:sz w:val="24"/>
          <w:szCs w:val="24"/>
        </w:rPr>
        <w:t xml:space="preserve"> these findings suggest that there is a need for improving</w:t>
      </w:r>
      <w:r w:rsidR="00003FD1">
        <w:rPr>
          <w:rFonts w:ascii="Garamond" w:hAnsi="Garamond"/>
          <w:sz w:val="24"/>
          <w:szCs w:val="24"/>
        </w:rPr>
        <w:t xml:space="preserve"> tax revenues through</w:t>
      </w:r>
      <w:r w:rsidR="007F55CD">
        <w:rPr>
          <w:rFonts w:ascii="Garamond" w:hAnsi="Garamond"/>
          <w:sz w:val="24"/>
          <w:szCs w:val="24"/>
        </w:rPr>
        <w:t>, among others,</w:t>
      </w:r>
      <w:r w:rsidR="00003FD1">
        <w:rPr>
          <w:rFonts w:ascii="Garamond" w:hAnsi="Garamond"/>
          <w:sz w:val="24"/>
          <w:szCs w:val="24"/>
        </w:rPr>
        <w:t xml:space="preserve"> enhancing </w:t>
      </w:r>
      <w:r>
        <w:rPr>
          <w:rFonts w:ascii="Garamond" w:hAnsi="Garamond"/>
          <w:sz w:val="24"/>
          <w:szCs w:val="24"/>
        </w:rPr>
        <w:t>efficiency of tax administration</w:t>
      </w:r>
      <w:r w:rsidR="00003FD1">
        <w:rPr>
          <w:rFonts w:ascii="Garamond" w:hAnsi="Garamond"/>
          <w:sz w:val="24"/>
          <w:szCs w:val="24"/>
        </w:rPr>
        <w:t xml:space="preserve"> (e.g. </w:t>
      </w:r>
      <w:r>
        <w:rPr>
          <w:rFonts w:ascii="Garamond" w:hAnsi="Garamond"/>
          <w:sz w:val="24"/>
          <w:szCs w:val="24"/>
        </w:rPr>
        <w:t>modernization</w:t>
      </w:r>
      <w:r w:rsidR="00003FD1">
        <w:rPr>
          <w:rFonts w:ascii="Garamond" w:hAnsi="Garamond"/>
          <w:sz w:val="24"/>
          <w:szCs w:val="24"/>
        </w:rPr>
        <w:t>)</w:t>
      </w:r>
      <w:r w:rsidR="007F55CD">
        <w:rPr>
          <w:rFonts w:ascii="Garamond" w:hAnsi="Garamond"/>
          <w:sz w:val="24"/>
          <w:szCs w:val="24"/>
        </w:rPr>
        <w:t xml:space="preserve"> and</w:t>
      </w:r>
      <w:r>
        <w:rPr>
          <w:rFonts w:ascii="Garamond" w:hAnsi="Garamond"/>
          <w:sz w:val="24"/>
          <w:szCs w:val="24"/>
        </w:rPr>
        <w:t xml:space="preserve"> awareness creation. </w:t>
      </w:r>
      <w:bookmarkStart w:id="52" w:name="_Toc410474287"/>
    </w:p>
    <w:p w:rsidR="008046F4" w:rsidRPr="00121285" w:rsidRDefault="008046F4" w:rsidP="00C26A15">
      <w:pPr>
        <w:pStyle w:val="Caption"/>
        <w:spacing w:after="0"/>
        <w:rPr>
          <w:rFonts w:ascii="Garamond" w:hAnsi="Garamond"/>
          <w:sz w:val="22"/>
          <w:szCs w:val="22"/>
        </w:rPr>
      </w:pPr>
      <w:bookmarkStart w:id="53" w:name="_Toc486585946"/>
      <w:r w:rsidRPr="00121285">
        <w:rPr>
          <w:rFonts w:ascii="Garamond" w:hAnsi="Garamond"/>
          <w:sz w:val="22"/>
          <w:szCs w:val="22"/>
        </w:rPr>
        <w:t>Figure</w:t>
      </w:r>
      <w:r w:rsidR="00121285" w:rsidRPr="00121285">
        <w:rPr>
          <w:rFonts w:ascii="Garamond" w:hAnsi="Garamond"/>
          <w:sz w:val="22"/>
          <w:szCs w:val="22"/>
        </w:rPr>
        <w:t xml:space="preserve"> </w:t>
      </w:r>
      <w:r w:rsidR="00BF3BBC" w:rsidRPr="00121285">
        <w:rPr>
          <w:rFonts w:ascii="Garamond" w:hAnsi="Garamond"/>
          <w:sz w:val="22"/>
          <w:szCs w:val="22"/>
        </w:rPr>
        <w:fldChar w:fldCharType="begin"/>
      </w:r>
      <w:r w:rsidR="00121285" w:rsidRPr="00121285">
        <w:rPr>
          <w:rFonts w:ascii="Garamond" w:hAnsi="Garamond"/>
          <w:sz w:val="22"/>
          <w:szCs w:val="22"/>
        </w:rPr>
        <w:instrText xml:space="preserve"> SEQ Figure \* ARABIC </w:instrText>
      </w:r>
      <w:r w:rsidR="00BF3BBC" w:rsidRPr="00121285">
        <w:rPr>
          <w:rFonts w:ascii="Garamond" w:hAnsi="Garamond"/>
          <w:sz w:val="22"/>
          <w:szCs w:val="22"/>
        </w:rPr>
        <w:fldChar w:fldCharType="separate"/>
      </w:r>
      <w:r w:rsidR="006C24A4">
        <w:rPr>
          <w:rFonts w:ascii="Garamond" w:hAnsi="Garamond"/>
          <w:noProof/>
          <w:sz w:val="22"/>
          <w:szCs w:val="22"/>
        </w:rPr>
        <w:t>11</w:t>
      </w:r>
      <w:r w:rsidR="00BF3BBC" w:rsidRPr="00121285">
        <w:rPr>
          <w:rFonts w:ascii="Garamond" w:hAnsi="Garamond"/>
          <w:sz w:val="22"/>
          <w:szCs w:val="22"/>
        </w:rPr>
        <w:fldChar w:fldCharType="end"/>
      </w:r>
      <w:r w:rsidRPr="00121285">
        <w:rPr>
          <w:rFonts w:ascii="Garamond" w:hAnsi="Garamond"/>
          <w:color w:val="000000"/>
          <w:sz w:val="22"/>
          <w:szCs w:val="22"/>
        </w:rPr>
        <w:t xml:space="preserve">: Percent of total annual sales declared for tax purposes by turnover </w:t>
      </w:r>
      <w:bookmarkEnd w:id="52"/>
      <w:r w:rsidRPr="00121285">
        <w:rPr>
          <w:rFonts w:ascii="Garamond" w:hAnsi="Garamond"/>
          <w:color w:val="000000"/>
          <w:sz w:val="22"/>
          <w:szCs w:val="22"/>
        </w:rPr>
        <w:t>in Ethiopia</w:t>
      </w:r>
      <w:bookmarkEnd w:id="53"/>
    </w:p>
    <w:p w:rsidR="008046F4" w:rsidRDefault="008046F4" w:rsidP="00C26A15">
      <w:pPr>
        <w:autoSpaceDE w:val="0"/>
        <w:autoSpaceDN w:val="0"/>
        <w:adjustRightInd w:val="0"/>
        <w:spacing w:after="0" w:line="240" w:lineRule="auto"/>
        <w:jc w:val="both"/>
        <w:rPr>
          <w:rFonts w:ascii="Garamond" w:hAnsi="Garamond"/>
          <w:sz w:val="24"/>
          <w:szCs w:val="24"/>
        </w:rPr>
      </w:pPr>
      <w:r>
        <w:rPr>
          <w:noProof/>
        </w:rPr>
        <w:drawing>
          <wp:inline distT="0" distB="0" distL="0" distR="0">
            <wp:extent cx="5441950" cy="2019300"/>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50A5" w:rsidRDefault="008046F4" w:rsidP="00C26A15">
      <w:pPr>
        <w:autoSpaceDE w:val="0"/>
        <w:autoSpaceDN w:val="0"/>
        <w:adjustRightInd w:val="0"/>
        <w:spacing w:after="0" w:line="240" w:lineRule="auto"/>
        <w:jc w:val="both"/>
        <w:rPr>
          <w:rFonts w:ascii="Garamond" w:hAnsi="Garamond"/>
        </w:rPr>
      </w:pPr>
      <w:r w:rsidRPr="007A6BDD">
        <w:rPr>
          <w:rFonts w:ascii="Garamond" w:hAnsi="Garamond"/>
        </w:rPr>
        <w:t>Source: IFC (2016)</w:t>
      </w:r>
    </w:p>
    <w:p w:rsidR="00D850A5" w:rsidRDefault="00D850A5">
      <w:pPr>
        <w:spacing w:after="160" w:line="259" w:lineRule="auto"/>
        <w:rPr>
          <w:rFonts w:ascii="Garamond" w:hAnsi="Garamond"/>
        </w:rPr>
      </w:pPr>
      <w:r>
        <w:rPr>
          <w:rFonts w:ascii="Garamond" w:hAnsi="Garamond"/>
        </w:rPr>
        <w:br w:type="page"/>
      </w:r>
    </w:p>
    <w:p w:rsidR="008046F4" w:rsidRPr="00121285" w:rsidRDefault="00121285" w:rsidP="00C26A15">
      <w:pPr>
        <w:pStyle w:val="Caption"/>
        <w:spacing w:after="0"/>
        <w:rPr>
          <w:rFonts w:ascii="Garamond" w:hAnsi="Garamond" w:cs="Arial"/>
          <w:color w:val="000000"/>
          <w:sz w:val="22"/>
          <w:szCs w:val="22"/>
        </w:rPr>
      </w:pPr>
      <w:bookmarkStart w:id="54" w:name="_Toc410474288"/>
      <w:bookmarkStart w:id="55" w:name="_Toc486585947"/>
      <w:r w:rsidRPr="00121285">
        <w:rPr>
          <w:rFonts w:ascii="Garamond" w:hAnsi="Garamond"/>
          <w:sz w:val="22"/>
          <w:szCs w:val="22"/>
        </w:rPr>
        <w:lastRenderedPageBreak/>
        <w:t xml:space="preserve">Figure </w:t>
      </w:r>
      <w:r w:rsidR="00BF3BBC" w:rsidRPr="00121285">
        <w:rPr>
          <w:rFonts w:ascii="Garamond" w:hAnsi="Garamond"/>
          <w:sz w:val="22"/>
          <w:szCs w:val="22"/>
        </w:rPr>
        <w:fldChar w:fldCharType="begin"/>
      </w:r>
      <w:r w:rsidRPr="00121285">
        <w:rPr>
          <w:rFonts w:ascii="Garamond" w:hAnsi="Garamond"/>
          <w:sz w:val="22"/>
          <w:szCs w:val="22"/>
        </w:rPr>
        <w:instrText xml:space="preserve"> SEQ Figure \* ARABIC </w:instrText>
      </w:r>
      <w:r w:rsidR="00BF3BBC" w:rsidRPr="00121285">
        <w:rPr>
          <w:rFonts w:ascii="Garamond" w:hAnsi="Garamond"/>
          <w:sz w:val="22"/>
          <w:szCs w:val="22"/>
        </w:rPr>
        <w:fldChar w:fldCharType="separate"/>
      </w:r>
      <w:r w:rsidR="006C24A4">
        <w:rPr>
          <w:rFonts w:ascii="Garamond" w:hAnsi="Garamond"/>
          <w:noProof/>
          <w:sz w:val="22"/>
          <w:szCs w:val="22"/>
        </w:rPr>
        <w:t>12</w:t>
      </w:r>
      <w:r w:rsidR="00BF3BBC" w:rsidRPr="00121285">
        <w:rPr>
          <w:rFonts w:ascii="Garamond" w:hAnsi="Garamond"/>
          <w:sz w:val="22"/>
          <w:szCs w:val="22"/>
        </w:rPr>
        <w:fldChar w:fldCharType="end"/>
      </w:r>
      <w:r w:rsidR="008046F4" w:rsidRPr="00121285">
        <w:rPr>
          <w:rFonts w:ascii="Garamond" w:hAnsi="Garamond"/>
          <w:color w:val="000000"/>
          <w:sz w:val="22"/>
          <w:szCs w:val="22"/>
        </w:rPr>
        <w:t>: Percent of actual expenditure overstated in tax returns by turnover</w:t>
      </w:r>
      <w:bookmarkEnd w:id="54"/>
      <w:r w:rsidR="008046F4" w:rsidRPr="00121285">
        <w:rPr>
          <w:rFonts w:ascii="Garamond" w:hAnsi="Garamond"/>
          <w:color w:val="000000"/>
          <w:sz w:val="22"/>
          <w:szCs w:val="22"/>
        </w:rPr>
        <w:t xml:space="preserve"> in Ethiopia</w:t>
      </w:r>
      <w:bookmarkEnd w:id="55"/>
    </w:p>
    <w:p w:rsidR="008046F4" w:rsidRDefault="008046F4" w:rsidP="00C26A15">
      <w:pPr>
        <w:autoSpaceDE w:val="0"/>
        <w:autoSpaceDN w:val="0"/>
        <w:adjustRightInd w:val="0"/>
        <w:spacing w:after="0" w:line="240" w:lineRule="auto"/>
        <w:jc w:val="both"/>
        <w:rPr>
          <w:rFonts w:ascii="Garamond" w:hAnsi="Garamond"/>
          <w:sz w:val="24"/>
          <w:szCs w:val="24"/>
        </w:rPr>
      </w:pPr>
      <w:r>
        <w:rPr>
          <w:noProof/>
        </w:rPr>
        <w:drawing>
          <wp:inline distT="0" distB="0" distL="0" distR="0">
            <wp:extent cx="4998720" cy="1872343"/>
            <wp:effectExtent l="0" t="0" r="11430" b="1397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46F4" w:rsidRDefault="008046F4" w:rsidP="00C26A15">
      <w:pPr>
        <w:autoSpaceDE w:val="0"/>
        <w:autoSpaceDN w:val="0"/>
        <w:adjustRightInd w:val="0"/>
        <w:spacing w:after="0" w:line="240" w:lineRule="auto"/>
        <w:jc w:val="both"/>
        <w:rPr>
          <w:rFonts w:ascii="Garamond" w:hAnsi="Garamond"/>
        </w:rPr>
      </w:pPr>
      <w:r w:rsidRPr="007A6BDD">
        <w:rPr>
          <w:rFonts w:ascii="Garamond" w:hAnsi="Garamond" w:cs="Arial"/>
        </w:rPr>
        <w:t xml:space="preserve"> </w:t>
      </w:r>
      <w:r w:rsidRPr="007A6BDD">
        <w:rPr>
          <w:rFonts w:ascii="Garamond" w:hAnsi="Garamond"/>
        </w:rPr>
        <w:t>Source: IFC (2016)</w:t>
      </w:r>
    </w:p>
    <w:p w:rsidR="008046F4" w:rsidRDefault="00FE178B"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Domestic r</w:t>
      </w:r>
      <w:r w:rsidR="00123037" w:rsidRPr="00123037">
        <w:rPr>
          <w:rFonts w:ascii="Garamond" w:hAnsi="Garamond"/>
          <w:sz w:val="24"/>
          <w:szCs w:val="24"/>
        </w:rPr>
        <w:t>evenue mobilization is also hampered by the preferential treatment granted to specific taxpayers through targeted tax deductions, credits, exclusions, or exemptions</w:t>
      </w:r>
      <w:r w:rsidR="00123037">
        <w:rPr>
          <w:rFonts w:ascii="Garamond" w:hAnsi="Garamond"/>
          <w:sz w:val="24"/>
          <w:szCs w:val="24"/>
        </w:rPr>
        <w:t xml:space="preserve"> to attract investment and </w:t>
      </w:r>
      <w:r w:rsidR="00123037" w:rsidRPr="00123037">
        <w:rPr>
          <w:rFonts w:ascii="Garamond" w:hAnsi="Garamond"/>
          <w:sz w:val="24"/>
          <w:szCs w:val="24"/>
        </w:rPr>
        <w:t>support growth</w:t>
      </w:r>
      <w:r w:rsidR="00123037">
        <w:rPr>
          <w:rFonts w:ascii="Garamond" w:hAnsi="Garamond"/>
          <w:sz w:val="24"/>
          <w:szCs w:val="24"/>
        </w:rPr>
        <w:t xml:space="preserve">. </w:t>
      </w:r>
      <w:r w:rsidR="006B0B42">
        <w:rPr>
          <w:rFonts w:ascii="Garamond" w:hAnsi="Garamond"/>
          <w:sz w:val="24"/>
          <w:szCs w:val="24"/>
        </w:rPr>
        <w:t>In 2015/16, r</w:t>
      </w:r>
      <w:r w:rsidR="003F275E">
        <w:rPr>
          <w:rFonts w:ascii="Garamond" w:hAnsi="Garamond"/>
          <w:sz w:val="24"/>
          <w:szCs w:val="24"/>
        </w:rPr>
        <w:t xml:space="preserve">evenue foregone </w:t>
      </w:r>
      <w:r w:rsidR="006B0B42">
        <w:rPr>
          <w:rFonts w:ascii="Garamond" w:hAnsi="Garamond"/>
          <w:sz w:val="24"/>
          <w:szCs w:val="24"/>
        </w:rPr>
        <w:t xml:space="preserve">was </w:t>
      </w:r>
      <w:r w:rsidR="003F275E">
        <w:rPr>
          <w:rFonts w:ascii="Garamond" w:hAnsi="Garamond"/>
          <w:sz w:val="24"/>
          <w:szCs w:val="24"/>
        </w:rPr>
        <w:t xml:space="preserve">ETB </w:t>
      </w:r>
      <w:r w:rsidR="00021986">
        <w:rPr>
          <w:rFonts w:ascii="Garamond" w:hAnsi="Garamond"/>
          <w:sz w:val="24"/>
          <w:szCs w:val="24"/>
        </w:rPr>
        <w:t>67</w:t>
      </w:r>
      <w:r w:rsidR="003F275E">
        <w:rPr>
          <w:rFonts w:ascii="Garamond" w:hAnsi="Garamond"/>
          <w:sz w:val="24"/>
          <w:szCs w:val="24"/>
        </w:rPr>
        <w:t xml:space="preserve"> </w:t>
      </w:r>
      <w:r w:rsidR="00021986">
        <w:rPr>
          <w:rFonts w:ascii="Garamond" w:hAnsi="Garamond"/>
          <w:sz w:val="24"/>
          <w:szCs w:val="24"/>
        </w:rPr>
        <w:t>billion</w:t>
      </w:r>
      <w:r w:rsidR="006B0B42">
        <w:rPr>
          <w:rFonts w:ascii="Garamond" w:hAnsi="Garamond"/>
          <w:sz w:val="24"/>
          <w:szCs w:val="24"/>
        </w:rPr>
        <w:t xml:space="preserve">, representing 35.3 percent of total </w:t>
      </w:r>
      <w:r w:rsidR="00010196">
        <w:rPr>
          <w:rFonts w:ascii="Garamond" w:hAnsi="Garamond"/>
          <w:sz w:val="24"/>
          <w:szCs w:val="24"/>
        </w:rPr>
        <w:t xml:space="preserve">tax </w:t>
      </w:r>
      <w:r w:rsidR="006B0B42">
        <w:rPr>
          <w:rFonts w:ascii="Garamond" w:hAnsi="Garamond"/>
          <w:sz w:val="24"/>
          <w:szCs w:val="24"/>
        </w:rPr>
        <w:t>revenue</w:t>
      </w:r>
      <w:r w:rsidR="00E56C70">
        <w:rPr>
          <w:rFonts w:ascii="Garamond" w:hAnsi="Garamond"/>
          <w:sz w:val="24"/>
          <w:szCs w:val="24"/>
        </w:rPr>
        <w:t xml:space="preserve"> or 4.4</w:t>
      </w:r>
      <w:r w:rsidR="00010196">
        <w:rPr>
          <w:rFonts w:ascii="Garamond" w:hAnsi="Garamond"/>
          <w:sz w:val="24"/>
          <w:szCs w:val="24"/>
        </w:rPr>
        <w:t xml:space="preserve"> percent of GDP</w:t>
      </w:r>
      <w:r w:rsidR="00690F0D">
        <w:rPr>
          <w:rFonts w:ascii="Garamond" w:hAnsi="Garamond"/>
          <w:sz w:val="24"/>
          <w:szCs w:val="24"/>
        </w:rPr>
        <w:t xml:space="preserve"> during the same year</w:t>
      </w:r>
      <w:r w:rsidR="00021986">
        <w:rPr>
          <w:rFonts w:ascii="Garamond" w:hAnsi="Garamond"/>
          <w:sz w:val="24"/>
          <w:szCs w:val="24"/>
        </w:rPr>
        <w:t xml:space="preserve">. </w:t>
      </w:r>
      <w:r w:rsidR="009E2F0D">
        <w:rPr>
          <w:rFonts w:ascii="Garamond" w:hAnsi="Garamond"/>
          <w:sz w:val="24"/>
          <w:szCs w:val="24"/>
        </w:rPr>
        <w:t xml:space="preserve">Between </w:t>
      </w:r>
      <w:r w:rsidR="00706C49">
        <w:rPr>
          <w:rFonts w:ascii="Garamond" w:hAnsi="Garamond"/>
          <w:sz w:val="24"/>
          <w:szCs w:val="24"/>
        </w:rPr>
        <w:t>20</w:t>
      </w:r>
      <w:r w:rsidR="009E2F0D">
        <w:rPr>
          <w:rFonts w:ascii="Garamond" w:hAnsi="Garamond"/>
          <w:sz w:val="24"/>
          <w:szCs w:val="24"/>
        </w:rPr>
        <w:t>0</w:t>
      </w:r>
      <w:r w:rsidR="00706C49">
        <w:rPr>
          <w:rFonts w:ascii="Garamond" w:hAnsi="Garamond"/>
          <w:sz w:val="24"/>
          <w:szCs w:val="24"/>
        </w:rPr>
        <w:t>5</w:t>
      </w:r>
      <w:r w:rsidR="009E2F0D">
        <w:rPr>
          <w:rFonts w:ascii="Garamond" w:hAnsi="Garamond"/>
          <w:sz w:val="24"/>
          <w:szCs w:val="24"/>
        </w:rPr>
        <w:t>/0</w:t>
      </w:r>
      <w:r w:rsidR="00706C49">
        <w:rPr>
          <w:rFonts w:ascii="Garamond" w:hAnsi="Garamond"/>
          <w:sz w:val="24"/>
          <w:szCs w:val="24"/>
        </w:rPr>
        <w:t>6</w:t>
      </w:r>
      <w:r w:rsidR="009E2F0D">
        <w:rPr>
          <w:rFonts w:ascii="Garamond" w:hAnsi="Garamond"/>
          <w:sz w:val="24"/>
          <w:szCs w:val="24"/>
        </w:rPr>
        <w:t xml:space="preserve"> and 2015/16, revenue foregone as a share of customs duty and taxes was more than </w:t>
      </w:r>
      <w:r w:rsidR="00C97C3A">
        <w:rPr>
          <w:rFonts w:ascii="Garamond" w:hAnsi="Garamond"/>
          <w:sz w:val="24"/>
          <w:szCs w:val="24"/>
        </w:rPr>
        <w:t>90</w:t>
      </w:r>
      <w:r w:rsidR="009E2F0D">
        <w:rPr>
          <w:rFonts w:ascii="Garamond" w:hAnsi="Garamond"/>
          <w:sz w:val="24"/>
          <w:szCs w:val="24"/>
        </w:rPr>
        <w:t xml:space="preserve"> percent. </w:t>
      </w:r>
      <w:r w:rsidR="00BB1CEE">
        <w:rPr>
          <w:rFonts w:ascii="Garamond" w:hAnsi="Garamond"/>
          <w:sz w:val="24"/>
          <w:szCs w:val="24"/>
        </w:rPr>
        <w:t xml:space="preserve">Although these incentives are meant to attract private investment, </w:t>
      </w:r>
      <w:r w:rsidR="00123037" w:rsidRPr="00123037">
        <w:rPr>
          <w:rFonts w:ascii="Garamond" w:hAnsi="Garamond"/>
          <w:sz w:val="24"/>
          <w:szCs w:val="24"/>
        </w:rPr>
        <w:t>the</w:t>
      </w:r>
      <w:r w:rsidR="00123037">
        <w:rPr>
          <w:rFonts w:ascii="Garamond" w:hAnsi="Garamond"/>
          <w:sz w:val="24"/>
          <w:szCs w:val="24"/>
        </w:rPr>
        <w:t xml:space="preserve">re is a need to closely monitor and evaluate their benefits vis-à-vis </w:t>
      </w:r>
      <w:r w:rsidR="00123037" w:rsidRPr="00123037">
        <w:rPr>
          <w:rFonts w:ascii="Garamond" w:hAnsi="Garamond"/>
          <w:sz w:val="24"/>
          <w:szCs w:val="24"/>
        </w:rPr>
        <w:t>the foregone revenue</w:t>
      </w:r>
      <w:r w:rsidR="00123037">
        <w:rPr>
          <w:rFonts w:ascii="Garamond" w:hAnsi="Garamond"/>
          <w:sz w:val="24"/>
          <w:szCs w:val="24"/>
        </w:rPr>
        <w:t xml:space="preserve">. </w:t>
      </w:r>
      <w:r w:rsidR="00123037" w:rsidRPr="00123037">
        <w:rPr>
          <w:rFonts w:ascii="Garamond" w:hAnsi="Garamond"/>
          <w:sz w:val="24"/>
          <w:szCs w:val="24"/>
        </w:rPr>
        <w:t xml:space="preserve"> </w:t>
      </w:r>
    </w:p>
    <w:p w:rsidR="00010196" w:rsidRPr="005B51D8" w:rsidRDefault="00010196" w:rsidP="00C26A15">
      <w:pPr>
        <w:pStyle w:val="Caption"/>
        <w:spacing w:after="0"/>
        <w:rPr>
          <w:rFonts w:ascii="Garamond" w:hAnsi="Garamond"/>
          <w:sz w:val="24"/>
          <w:szCs w:val="24"/>
        </w:rPr>
      </w:pPr>
      <w:bookmarkStart w:id="56" w:name="_Toc486585948"/>
      <w:r w:rsidRPr="005B51D8">
        <w:rPr>
          <w:rFonts w:ascii="Garamond" w:hAnsi="Garamond"/>
          <w:sz w:val="24"/>
          <w:szCs w:val="24"/>
        </w:rPr>
        <w:t xml:space="preserve">Figure </w:t>
      </w:r>
      <w:r w:rsidR="00BF3BBC" w:rsidRPr="005B51D8">
        <w:rPr>
          <w:rFonts w:ascii="Garamond" w:hAnsi="Garamond"/>
          <w:sz w:val="24"/>
          <w:szCs w:val="24"/>
        </w:rPr>
        <w:fldChar w:fldCharType="begin"/>
      </w:r>
      <w:r w:rsidRPr="005B51D8">
        <w:rPr>
          <w:rFonts w:ascii="Garamond" w:hAnsi="Garamond"/>
          <w:sz w:val="24"/>
          <w:szCs w:val="24"/>
        </w:rPr>
        <w:instrText xml:space="preserve"> SEQ Figure \* ARABIC </w:instrText>
      </w:r>
      <w:r w:rsidR="00BF3BBC" w:rsidRPr="005B51D8">
        <w:rPr>
          <w:rFonts w:ascii="Garamond" w:hAnsi="Garamond"/>
          <w:sz w:val="24"/>
          <w:szCs w:val="24"/>
        </w:rPr>
        <w:fldChar w:fldCharType="separate"/>
      </w:r>
      <w:r w:rsidR="006C24A4">
        <w:rPr>
          <w:rFonts w:ascii="Garamond" w:hAnsi="Garamond"/>
          <w:noProof/>
          <w:sz w:val="24"/>
          <w:szCs w:val="24"/>
        </w:rPr>
        <w:t>13</w:t>
      </w:r>
      <w:r w:rsidR="00BF3BBC" w:rsidRPr="005B51D8">
        <w:rPr>
          <w:rFonts w:ascii="Garamond" w:hAnsi="Garamond"/>
          <w:sz w:val="24"/>
          <w:szCs w:val="24"/>
        </w:rPr>
        <w:fldChar w:fldCharType="end"/>
      </w:r>
      <w:r w:rsidRPr="005B51D8">
        <w:rPr>
          <w:rFonts w:ascii="Garamond" w:hAnsi="Garamond"/>
          <w:sz w:val="24"/>
          <w:szCs w:val="24"/>
        </w:rPr>
        <w:t>: Revenue foregone (in Billion ETB)</w:t>
      </w:r>
      <w:bookmarkEnd w:id="56"/>
    </w:p>
    <w:p w:rsidR="00123037" w:rsidRDefault="00010196" w:rsidP="00C26A15">
      <w:pPr>
        <w:autoSpaceDE w:val="0"/>
        <w:autoSpaceDN w:val="0"/>
        <w:adjustRightInd w:val="0"/>
        <w:spacing w:after="0" w:line="240" w:lineRule="auto"/>
        <w:jc w:val="both"/>
        <w:rPr>
          <w:rFonts w:ascii="Garamond" w:hAnsi="Garamond"/>
          <w:sz w:val="24"/>
          <w:szCs w:val="24"/>
        </w:rPr>
      </w:pPr>
      <w:r w:rsidRPr="00010196">
        <w:rPr>
          <w:rFonts w:ascii="Garamond" w:hAnsi="Garamond"/>
          <w:noProof/>
          <w:sz w:val="24"/>
          <w:szCs w:val="24"/>
        </w:rPr>
        <w:drawing>
          <wp:inline distT="0" distB="0" distL="0" distR="0">
            <wp:extent cx="5758180" cy="1567542"/>
            <wp:effectExtent l="0" t="0" r="13970" b="1397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0D23" w:rsidRDefault="00340D23" w:rsidP="00C26A15">
      <w:pPr>
        <w:autoSpaceDE w:val="0"/>
        <w:autoSpaceDN w:val="0"/>
        <w:adjustRightInd w:val="0"/>
        <w:spacing w:after="0" w:line="240" w:lineRule="auto"/>
        <w:jc w:val="both"/>
        <w:rPr>
          <w:rFonts w:ascii="Garamond" w:hAnsi="Garamond"/>
          <w:sz w:val="24"/>
          <w:szCs w:val="24"/>
        </w:rPr>
      </w:pPr>
      <w:r w:rsidRPr="007A6BDD">
        <w:rPr>
          <w:rFonts w:ascii="Garamond" w:hAnsi="Garamond"/>
        </w:rPr>
        <w:t xml:space="preserve">Source: </w:t>
      </w:r>
      <w:r w:rsidR="00984B7D">
        <w:rPr>
          <w:rFonts w:ascii="Garamond" w:hAnsi="Garamond"/>
        </w:rPr>
        <w:t>ERCA</w:t>
      </w:r>
    </w:p>
    <w:p w:rsidR="008046F4" w:rsidRDefault="008046F4" w:rsidP="00C26A15">
      <w:pPr>
        <w:autoSpaceDE w:val="0"/>
        <w:autoSpaceDN w:val="0"/>
        <w:adjustRightInd w:val="0"/>
        <w:spacing w:after="0" w:line="240" w:lineRule="auto"/>
        <w:jc w:val="both"/>
        <w:rPr>
          <w:rFonts w:ascii="Garamond" w:hAnsi="Garamond"/>
          <w:sz w:val="24"/>
          <w:szCs w:val="24"/>
        </w:rPr>
      </w:pPr>
      <w:r w:rsidRPr="00A44028">
        <w:rPr>
          <w:rFonts w:ascii="Garamond" w:hAnsi="Garamond"/>
          <w:sz w:val="24"/>
          <w:szCs w:val="24"/>
        </w:rPr>
        <w:t xml:space="preserve">The </w:t>
      </w:r>
      <w:r>
        <w:rPr>
          <w:rFonts w:ascii="Garamond" w:hAnsi="Garamond"/>
          <w:sz w:val="24"/>
          <w:szCs w:val="24"/>
        </w:rPr>
        <w:t xml:space="preserve">Ethiopian government has expressed its </w:t>
      </w:r>
      <w:r w:rsidRPr="00A44028">
        <w:rPr>
          <w:rFonts w:ascii="Garamond" w:hAnsi="Garamond"/>
          <w:sz w:val="24"/>
          <w:szCs w:val="24"/>
        </w:rPr>
        <w:t xml:space="preserve">commitment to strengthening domestic </w:t>
      </w:r>
      <w:r>
        <w:rPr>
          <w:rFonts w:ascii="Garamond" w:hAnsi="Garamond"/>
          <w:sz w:val="24"/>
          <w:szCs w:val="24"/>
        </w:rPr>
        <w:t>tax revenue m</w:t>
      </w:r>
      <w:r w:rsidRPr="00A44028">
        <w:rPr>
          <w:rFonts w:ascii="Garamond" w:hAnsi="Garamond"/>
          <w:sz w:val="24"/>
          <w:szCs w:val="24"/>
        </w:rPr>
        <w:t>obilization</w:t>
      </w:r>
      <w:r>
        <w:rPr>
          <w:rFonts w:ascii="Garamond" w:hAnsi="Garamond"/>
          <w:sz w:val="24"/>
          <w:szCs w:val="24"/>
        </w:rPr>
        <w:t xml:space="preserve">. Key intervention areas include: </w:t>
      </w:r>
    </w:p>
    <w:p w:rsidR="008046F4" w:rsidRDefault="008046F4" w:rsidP="00F82810">
      <w:pPr>
        <w:pStyle w:val="ListParagraph"/>
        <w:numPr>
          <w:ilvl w:val="0"/>
          <w:numId w:val="9"/>
        </w:numPr>
        <w:autoSpaceDE w:val="0"/>
        <w:autoSpaceDN w:val="0"/>
        <w:adjustRightInd w:val="0"/>
        <w:spacing w:after="0" w:line="240" w:lineRule="auto"/>
        <w:jc w:val="both"/>
        <w:rPr>
          <w:rFonts w:ascii="Garamond" w:hAnsi="Garamond"/>
          <w:sz w:val="24"/>
          <w:szCs w:val="24"/>
        </w:rPr>
      </w:pPr>
      <w:r w:rsidRPr="00EC7CF9">
        <w:rPr>
          <w:rFonts w:ascii="Garamond" w:hAnsi="Garamond"/>
          <w:sz w:val="24"/>
          <w:szCs w:val="24"/>
        </w:rPr>
        <w:t>expand the tax base through capturing new businesses into the tax net</w:t>
      </w:r>
    </w:p>
    <w:p w:rsidR="008046F4" w:rsidRDefault="008046F4" w:rsidP="00F82810">
      <w:pPr>
        <w:pStyle w:val="ListParagraph"/>
        <w:numPr>
          <w:ilvl w:val="0"/>
          <w:numId w:val="9"/>
        </w:num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improve </w:t>
      </w:r>
      <w:r w:rsidRPr="00EC7CF9">
        <w:rPr>
          <w:rFonts w:ascii="Garamond" w:hAnsi="Garamond"/>
          <w:sz w:val="24"/>
          <w:szCs w:val="24"/>
        </w:rPr>
        <w:t>human resource development and management</w:t>
      </w:r>
      <w:r>
        <w:rPr>
          <w:rFonts w:ascii="Garamond" w:hAnsi="Garamond"/>
          <w:sz w:val="24"/>
          <w:szCs w:val="24"/>
        </w:rPr>
        <w:t xml:space="preserve"> revenue offices</w:t>
      </w:r>
      <w:r w:rsidRPr="00EC7CF9">
        <w:rPr>
          <w:rFonts w:ascii="Garamond" w:hAnsi="Garamond"/>
          <w:sz w:val="24"/>
          <w:szCs w:val="24"/>
        </w:rPr>
        <w:t xml:space="preserve">; </w:t>
      </w:r>
    </w:p>
    <w:p w:rsidR="008046F4" w:rsidRDefault="008046F4" w:rsidP="00F82810">
      <w:pPr>
        <w:pStyle w:val="ListParagraph"/>
        <w:numPr>
          <w:ilvl w:val="0"/>
          <w:numId w:val="9"/>
        </w:numPr>
        <w:autoSpaceDE w:val="0"/>
        <w:autoSpaceDN w:val="0"/>
        <w:adjustRightInd w:val="0"/>
        <w:spacing w:after="0" w:line="240" w:lineRule="auto"/>
        <w:jc w:val="both"/>
        <w:rPr>
          <w:rFonts w:ascii="Garamond" w:hAnsi="Garamond"/>
          <w:sz w:val="24"/>
          <w:szCs w:val="24"/>
        </w:rPr>
      </w:pPr>
      <w:r w:rsidRPr="00EC7CF9">
        <w:rPr>
          <w:rFonts w:ascii="Garamond" w:hAnsi="Garamond"/>
          <w:sz w:val="24"/>
          <w:szCs w:val="24"/>
        </w:rPr>
        <w:t xml:space="preserve">expand modern information system;  </w:t>
      </w:r>
    </w:p>
    <w:p w:rsidR="008046F4" w:rsidRDefault="008046F4" w:rsidP="00F82810">
      <w:pPr>
        <w:pStyle w:val="ListParagraph"/>
        <w:numPr>
          <w:ilvl w:val="0"/>
          <w:numId w:val="9"/>
        </w:numPr>
        <w:autoSpaceDE w:val="0"/>
        <w:autoSpaceDN w:val="0"/>
        <w:adjustRightInd w:val="0"/>
        <w:spacing w:after="0" w:line="240" w:lineRule="auto"/>
        <w:jc w:val="both"/>
        <w:rPr>
          <w:rFonts w:ascii="Garamond" w:hAnsi="Garamond"/>
          <w:sz w:val="24"/>
          <w:szCs w:val="24"/>
        </w:rPr>
      </w:pPr>
      <w:r w:rsidRPr="00EC7CF9">
        <w:rPr>
          <w:rFonts w:ascii="Garamond" w:hAnsi="Garamond"/>
          <w:sz w:val="24"/>
          <w:szCs w:val="24"/>
        </w:rPr>
        <w:t>improv</w:t>
      </w:r>
      <w:r>
        <w:rPr>
          <w:rFonts w:ascii="Garamond" w:hAnsi="Garamond"/>
          <w:sz w:val="24"/>
          <w:szCs w:val="24"/>
        </w:rPr>
        <w:t>e</w:t>
      </w:r>
      <w:r w:rsidRPr="00EC7CF9">
        <w:rPr>
          <w:rFonts w:ascii="Garamond" w:hAnsi="Garamond"/>
          <w:sz w:val="24"/>
          <w:szCs w:val="24"/>
        </w:rPr>
        <w:t xml:space="preserve"> customer relations and </w:t>
      </w:r>
      <w:r w:rsidRPr="004E5A6D">
        <w:rPr>
          <w:rFonts w:ascii="Garamond" w:hAnsi="Garamond"/>
          <w:sz w:val="24"/>
          <w:szCs w:val="24"/>
        </w:rPr>
        <w:t>awareness creation among tax payers</w:t>
      </w:r>
      <w:r w:rsidRPr="00EC7CF9">
        <w:rPr>
          <w:rFonts w:ascii="Garamond" w:hAnsi="Garamond"/>
          <w:sz w:val="24"/>
          <w:szCs w:val="24"/>
        </w:rPr>
        <w:t xml:space="preserve">;  </w:t>
      </w:r>
    </w:p>
    <w:p w:rsidR="008046F4" w:rsidRDefault="008046F4" w:rsidP="00F82810">
      <w:pPr>
        <w:pStyle w:val="ListParagraph"/>
        <w:numPr>
          <w:ilvl w:val="0"/>
          <w:numId w:val="9"/>
        </w:numPr>
        <w:autoSpaceDE w:val="0"/>
        <w:autoSpaceDN w:val="0"/>
        <w:adjustRightInd w:val="0"/>
        <w:spacing w:after="0" w:line="240" w:lineRule="auto"/>
        <w:jc w:val="both"/>
        <w:rPr>
          <w:rFonts w:ascii="Garamond" w:hAnsi="Garamond"/>
          <w:sz w:val="24"/>
          <w:szCs w:val="24"/>
        </w:rPr>
      </w:pPr>
      <w:r w:rsidRPr="00EC7CF9">
        <w:rPr>
          <w:rFonts w:ascii="Garamond" w:hAnsi="Garamond"/>
          <w:sz w:val="24"/>
          <w:szCs w:val="24"/>
        </w:rPr>
        <w:t xml:space="preserve">customer service and support to improve the delivery system;  </w:t>
      </w:r>
    </w:p>
    <w:p w:rsidR="008046F4" w:rsidRPr="008D6AD2" w:rsidRDefault="008046F4" w:rsidP="00F82810">
      <w:pPr>
        <w:pStyle w:val="ListParagraph"/>
        <w:numPr>
          <w:ilvl w:val="0"/>
          <w:numId w:val="9"/>
        </w:numPr>
        <w:autoSpaceDE w:val="0"/>
        <w:autoSpaceDN w:val="0"/>
        <w:adjustRightInd w:val="0"/>
        <w:spacing w:after="0" w:line="240" w:lineRule="auto"/>
        <w:jc w:val="both"/>
        <w:rPr>
          <w:rFonts w:ascii="Garamond" w:hAnsi="Garamond"/>
          <w:sz w:val="24"/>
          <w:szCs w:val="24"/>
        </w:rPr>
      </w:pPr>
      <w:r w:rsidRPr="008D6AD2">
        <w:rPr>
          <w:rFonts w:ascii="Garamond" w:hAnsi="Garamond"/>
          <w:sz w:val="24"/>
          <w:szCs w:val="24"/>
        </w:rPr>
        <w:t>improv</w:t>
      </w:r>
      <w:r>
        <w:rPr>
          <w:rFonts w:ascii="Garamond" w:hAnsi="Garamond"/>
          <w:sz w:val="24"/>
          <w:szCs w:val="24"/>
        </w:rPr>
        <w:t>e</w:t>
      </w:r>
      <w:r w:rsidRPr="008D6AD2">
        <w:rPr>
          <w:rFonts w:ascii="Garamond" w:hAnsi="Garamond"/>
          <w:sz w:val="24"/>
          <w:szCs w:val="24"/>
        </w:rPr>
        <w:t xml:space="preserve"> tax collection efficiency by fully and fairly implementing the on-going tax and  customs reforms</w:t>
      </w:r>
      <w:r>
        <w:rPr>
          <w:rFonts w:ascii="Garamond" w:hAnsi="Garamond"/>
          <w:sz w:val="24"/>
          <w:szCs w:val="24"/>
        </w:rPr>
        <w:t>;</w:t>
      </w:r>
    </w:p>
    <w:p w:rsidR="008046F4" w:rsidRDefault="008046F4" w:rsidP="00F82810">
      <w:pPr>
        <w:pStyle w:val="ListParagraph"/>
        <w:numPr>
          <w:ilvl w:val="0"/>
          <w:numId w:val="9"/>
        </w:numPr>
        <w:autoSpaceDE w:val="0"/>
        <w:autoSpaceDN w:val="0"/>
        <w:adjustRightInd w:val="0"/>
        <w:spacing w:after="0" w:line="240" w:lineRule="auto"/>
        <w:jc w:val="both"/>
        <w:rPr>
          <w:rFonts w:ascii="Garamond" w:hAnsi="Garamond"/>
          <w:sz w:val="24"/>
          <w:szCs w:val="24"/>
        </w:rPr>
      </w:pPr>
      <w:r w:rsidRPr="00EC7CF9">
        <w:rPr>
          <w:rFonts w:ascii="Garamond" w:hAnsi="Garamond"/>
          <w:sz w:val="24"/>
          <w:szCs w:val="24"/>
        </w:rPr>
        <w:t>improv</w:t>
      </w:r>
      <w:r>
        <w:rPr>
          <w:rFonts w:ascii="Garamond" w:hAnsi="Garamond"/>
          <w:sz w:val="24"/>
          <w:szCs w:val="24"/>
        </w:rPr>
        <w:t>e</w:t>
      </w:r>
      <w:r w:rsidRPr="00EC7CF9">
        <w:rPr>
          <w:rFonts w:ascii="Garamond" w:hAnsi="Garamond"/>
          <w:sz w:val="24"/>
          <w:szCs w:val="24"/>
        </w:rPr>
        <w:t xml:space="preserve"> the presumptive tax </w:t>
      </w:r>
      <w:r>
        <w:rPr>
          <w:rFonts w:ascii="Garamond" w:hAnsi="Garamond"/>
          <w:sz w:val="24"/>
          <w:szCs w:val="24"/>
        </w:rPr>
        <w:t>system;</w:t>
      </w:r>
      <w:r w:rsidRPr="00EC7CF9">
        <w:rPr>
          <w:rFonts w:ascii="Garamond" w:hAnsi="Garamond"/>
          <w:sz w:val="24"/>
          <w:szCs w:val="24"/>
        </w:rPr>
        <w:t xml:space="preserve"> </w:t>
      </w:r>
      <w:r>
        <w:rPr>
          <w:rFonts w:ascii="Garamond" w:hAnsi="Garamond"/>
          <w:sz w:val="24"/>
          <w:szCs w:val="24"/>
        </w:rPr>
        <w:t xml:space="preserve">and </w:t>
      </w:r>
    </w:p>
    <w:p w:rsidR="008046F4" w:rsidRPr="00EC7CF9" w:rsidRDefault="008046F4" w:rsidP="00F82810">
      <w:pPr>
        <w:pStyle w:val="ListParagraph"/>
        <w:numPr>
          <w:ilvl w:val="0"/>
          <w:numId w:val="9"/>
        </w:numPr>
        <w:autoSpaceDE w:val="0"/>
        <w:autoSpaceDN w:val="0"/>
        <w:adjustRightInd w:val="0"/>
        <w:spacing w:after="0" w:line="240" w:lineRule="auto"/>
        <w:jc w:val="both"/>
        <w:rPr>
          <w:rFonts w:ascii="Garamond" w:hAnsi="Garamond"/>
          <w:sz w:val="24"/>
          <w:szCs w:val="24"/>
        </w:rPr>
      </w:pPr>
      <w:r w:rsidRPr="00EC7CF9">
        <w:rPr>
          <w:rFonts w:ascii="Garamond" w:hAnsi="Garamond"/>
          <w:sz w:val="24"/>
          <w:szCs w:val="24"/>
        </w:rPr>
        <w:t>improv</w:t>
      </w:r>
      <w:r>
        <w:rPr>
          <w:rFonts w:ascii="Garamond" w:hAnsi="Garamond"/>
          <w:sz w:val="24"/>
          <w:szCs w:val="24"/>
        </w:rPr>
        <w:t>e</w:t>
      </w:r>
      <w:r w:rsidRPr="00EC7CF9">
        <w:rPr>
          <w:rFonts w:ascii="Garamond" w:hAnsi="Garamond"/>
          <w:sz w:val="24"/>
          <w:szCs w:val="24"/>
        </w:rPr>
        <w:t xml:space="preserve"> the administration of the tax system</w:t>
      </w:r>
      <w:r>
        <w:rPr>
          <w:rFonts w:ascii="Garamond" w:hAnsi="Garamond"/>
          <w:sz w:val="24"/>
          <w:szCs w:val="24"/>
        </w:rPr>
        <w:t>.</w:t>
      </w:r>
    </w:p>
    <w:p w:rsidR="006B5C47" w:rsidRDefault="00463EAF"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These interventions, if</w:t>
      </w:r>
      <w:r w:rsidRPr="00463EAF">
        <w:rPr>
          <w:rFonts w:ascii="Garamond" w:hAnsi="Garamond"/>
          <w:sz w:val="24"/>
          <w:szCs w:val="24"/>
        </w:rPr>
        <w:t xml:space="preserve"> successfully implemented,</w:t>
      </w:r>
      <w:r>
        <w:rPr>
          <w:rFonts w:ascii="Garamond" w:hAnsi="Garamond"/>
          <w:sz w:val="24"/>
          <w:szCs w:val="24"/>
        </w:rPr>
        <w:t xml:space="preserve"> will address some of the challenges in tax administration and improve the domestic tax revenue. </w:t>
      </w:r>
      <w:r w:rsidR="0062341C">
        <w:rPr>
          <w:rFonts w:ascii="Garamond" w:hAnsi="Garamond"/>
          <w:sz w:val="24"/>
          <w:szCs w:val="24"/>
        </w:rPr>
        <w:t>In addition, efforts are in progress to establish a dedicated tax directorate within the Ministry of Finance and Economic Cooperation</w:t>
      </w:r>
      <w:r w:rsidR="00254C94">
        <w:rPr>
          <w:rFonts w:ascii="Garamond" w:hAnsi="Garamond"/>
          <w:sz w:val="24"/>
          <w:szCs w:val="24"/>
        </w:rPr>
        <w:t xml:space="preserve"> (MoFEC)</w:t>
      </w:r>
      <w:r w:rsidR="00F31E61">
        <w:rPr>
          <w:rFonts w:ascii="Garamond" w:hAnsi="Garamond"/>
          <w:sz w:val="24"/>
          <w:szCs w:val="24"/>
        </w:rPr>
        <w:t>, which was under the macroeconom</w:t>
      </w:r>
      <w:r w:rsidR="00600E83">
        <w:rPr>
          <w:rFonts w:ascii="Garamond" w:hAnsi="Garamond"/>
          <w:sz w:val="24"/>
          <w:szCs w:val="24"/>
        </w:rPr>
        <w:t>ic</w:t>
      </w:r>
      <w:r w:rsidR="00F31E61">
        <w:rPr>
          <w:rFonts w:ascii="Garamond" w:hAnsi="Garamond"/>
          <w:sz w:val="24"/>
          <w:szCs w:val="24"/>
        </w:rPr>
        <w:t xml:space="preserve"> p</w:t>
      </w:r>
      <w:r w:rsidR="00600E83">
        <w:rPr>
          <w:rFonts w:ascii="Garamond" w:hAnsi="Garamond"/>
          <w:sz w:val="24"/>
          <w:szCs w:val="24"/>
        </w:rPr>
        <w:t xml:space="preserve">olicy </w:t>
      </w:r>
      <w:r w:rsidR="00F31E61">
        <w:rPr>
          <w:rFonts w:ascii="Garamond" w:hAnsi="Garamond"/>
          <w:sz w:val="24"/>
          <w:szCs w:val="24"/>
        </w:rPr>
        <w:t>and management directorate</w:t>
      </w:r>
      <w:r w:rsidR="00254C94">
        <w:rPr>
          <w:rFonts w:ascii="Garamond" w:hAnsi="Garamond"/>
          <w:sz w:val="24"/>
          <w:szCs w:val="24"/>
        </w:rPr>
        <w:t xml:space="preserve"> of MoFEC</w:t>
      </w:r>
      <w:r w:rsidR="00E63C28">
        <w:rPr>
          <w:rFonts w:ascii="Garamond" w:hAnsi="Garamond"/>
          <w:sz w:val="24"/>
          <w:szCs w:val="24"/>
        </w:rPr>
        <w:t>, i</w:t>
      </w:r>
      <w:r w:rsidR="008413D6">
        <w:rPr>
          <w:rFonts w:ascii="Garamond" w:hAnsi="Garamond"/>
          <w:sz w:val="24"/>
          <w:szCs w:val="24"/>
        </w:rPr>
        <w:t>ndicat</w:t>
      </w:r>
      <w:r w:rsidR="00E63C28">
        <w:rPr>
          <w:rFonts w:ascii="Garamond" w:hAnsi="Garamond"/>
          <w:sz w:val="24"/>
          <w:szCs w:val="24"/>
        </w:rPr>
        <w:t>ing</w:t>
      </w:r>
      <w:r w:rsidR="00561204">
        <w:rPr>
          <w:rFonts w:ascii="Garamond" w:hAnsi="Garamond"/>
          <w:sz w:val="24"/>
          <w:szCs w:val="24"/>
        </w:rPr>
        <w:t xml:space="preserve"> </w:t>
      </w:r>
      <w:r w:rsidR="008413D6">
        <w:rPr>
          <w:rFonts w:ascii="Garamond" w:hAnsi="Garamond"/>
          <w:sz w:val="24"/>
          <w:szCs w:val="24"/>
        </w:rPr>
        <w:t>government</w:t>
      </w:r>
      <w:r w:rsidR="00561204">
        <w:rPr>
          <w:rFonts w:ascii="Garamond" w:hAnsi="Garamond"/>
          <w:sz w:val="24"/>
          <w:szCs w:val="24"/>
        </w:rPr>
        <w:t>’s determination to enhance tax revenue m</w:t>
      </w:r>
      <w:r w:rsidR="008413D6">
        <w:rPr>
          <w:rFonts w:ascii="Garamond" w:hAnsi="Garamond"/>
          <w:sz w:val="24"/>
          <w:szCs w:val="24"/>
        </w:rPr>
        <w:t>obilization</w:t>
      </w:r>
      <w:r w:rsidR="00561204">
        <w:rPr>
          <w:rFonts w:ascii="Garamond" w:hAnsi="Garamond"/>
          <w:sz w:val="24"/>
          <w:szCs w:val="24"/>
        </w:rPr>
        <w:t xml:space="preserve">. </w:t>
      </w:r>
      <w:r w:rsidR="00E63C28">
        <w:rPr>
          <w:rFonts w:ascii="Garamond" w:hAnsi="Garamond"/>
          <w:sz w:val="24"/>
          <w:szCs w:val="24"/>
        </w:rPr>
        <w:t xml:space="preserve">If strengthened, this </w:t>
      </w:r>
      <w:r w:rsidR="00E63C28">
        <w:rPr>
          <w:rFonts w:ascii="Garamond" w:hAnsi="Garamond"/>
          <w:sz w:val="24"/>
          <w:szCs w:val="24"/>
        </w:rPr>
        <w:lastRenderedPageBreak/>
        <w:t xml:space="preserve">institutional set up can provide evidence-based and coordinated advice on issues related to tax policy, </w:t>
      </w:r>
      <w:r w:rsidR="00D85F56">
        <w:rPr>
          <w:rFonts w:ascii="Garamond" w:hAnsi="Garamond"/>
          <w:sz w:val="24"/>
          <w:szCs w:val="24"/>
        </w:rPr>
        <w:t xml:space="preserve">tax </w:t>
      </w:r>
      <w:r w:rsidR="00E63C28">
        <w:rPr>
          <w:rFonts w:ascii="Garamond" w:hAnsi="Garamond"/>
          <w:sz w:val="24"/>
          <w:szCs w:val="24"/>
        </w:rPr>
        <w:t>leg</w:t>
      </w:r>
      <w:r w:rsidR="00D85F56">
        <w:rPr>
          <w:rFonts w:ascii="Garamond" w:hAnsi="Garamond"/>
          <w:sz w:val="24"/>
          <w:szCs w:val="24"/>
        </w:rPr>
        <w:t>islation</w:t>
      </w:r>
      <w:r w:rsidR="00E63C28">
        <w:rPr>
          <w:rFonts w:ascii="Garamond" w:hAnsi="Garamond"/>
          <w:sz w:val="24"/>
          <w:szCs w:val="24"/>
        </w:rPr>
        <w:t xml:space="preserve">, </w:t>
      </w:r>
      <w:r w:rsidR="00D85F56">
        <w:rPr>
          <w:rFonts w:ascii="Garamond" w:hAnsi="Garamond"/>
          <w:sz w:val="24"/>
          <w:szCs w:val="24"/>
        </w:rPr>
        <w:t>tax forecasting, analysis of revenue potential</w:t>
      </w:r>
      <w:r w:rsidR="00DF01F9">
        <w:rPr>
          <w:rFonts w:ascii="Garamond" w:hAnsi="Garamond"/>
          <w:sz w:val="24"/>
          <w:szCs w:val="24"/>
        </w:rPr>
        <w:t>,</w:t>
      </w:r>
      <w:r w:rsidR="00D85F56">
        <w:rPr>
          <w:rFonts w:ascii="Garamond" w:hAnsi="Garamond"/>
          <w:sz w:val="24"/>
          <w:szCs w:val="24"/>
        </w:rPr>
        <w:t xml:space="preserve"> </w:t>
      </w:r>
      <w:r w:rsidR="00E63C28">
        <w:rPr>
          <w:rFonts w:ascii="Garamond" w:hAnsi="Garamond"/>
          <w:sz w:val="24"/>
          <w:szCs w:val="24"/>
        </w:rPr>
        <w:t xml:space="preserve">and tax administration. </w:t>
      </w:r>
      <w:r w:rsidR="008413D6">
        <w:rPr>
          <w:rFonts w:ascii="Garamond" w:hAnsi="Garamond"/>
          <w:sz w:val="24"/>
          <w:szCs w:val="24"/>
        </w:rPr>
        <w:t xml:space="preserve">Given that this is </w:t>
      </w:r>
      <w:r w:rsidR="0086505D">
        <w:rPr>
          <w:rFonts w:ascii="Garamond" w:hAnsi="Garamond"/>
          <w:sz w:val="24"/>
          <w:szCs w:val="24"/>
        </w:rPr>
        <w:t xml:space="preserve">in the </w:t>
      </w:r>
      <w:r w:rsidR="008413D6">
        <w:rPr>
          <w:rFonts w:ascii="Garamond" w:hAnsi="Garamond"/>
          <w:sz w:val="24"/>
          <w:szCs w:val="24"/>
        </w:rPr>
        <w:t xml:space="preserve">early stage, more support is required to establish a strong tax </w:t>
      </w:r>
      <w:r w:rsidR="009451D0">
        <w:rPr>
          <w:rFonts w:ascii="Garamond" w:hAnsi="Garamond"/>
          <w:sz w:val="24"/>
          <w:szCs w:val="24"/>
        </w:rPr>
        <w:t xml:space="preserve">directorate in terms of human </w:t>
      </w:r>
      <w:r w:rsidR="0086505D">
        <w:rPr>
          <w:rFonts w:ascii="Garamond" w:hAnsi="Garamond"/>
          <w:sz w:val="24"/>
          <w:szCs w:val="24"/>
        </w:rPr>
        <w:t xml:space="preserve">resources </w:t>
      </w:r>
      <w:r w:rsidR="009451D0">
        <w:rPr>
          <w:rFonts w:ascii="Garamond" w:hAnsi="Garamond"/>
          <w:sz w:val="24"/>
          <w:szCs w:val="24"/>
        </w:rPr>
        <w:t>with the required expertise</w:t>
      </w:r>
      <w:r w:rsidR="0086505D">
        <w:rPr>
          <w:rFonts w:ascii="Garamond" w:hAnsi="Garamond"/>
          <w:sz w:val="24"/>
          <w:szCs w:val="24"/>
        </w:rPr>
        <w:t xml:space="preserve"> and skills as well as </w:t>
      </w:r>
      <w:r w:rsidR="009451D0">
        <w:rPr>
          <w:rFonts w:ascii="Garamond" w:hAnsi="Garamond"/>
          <w:sz w:val="24"/>
          <w:szCs w:val="24"/>
        </w:rPr>
        <w:t xml:space="preserve">supporting infrastructure.  </w:t>
      </w:r>
      <w:r w:rsidR="008413D6">
        <w:rPr>
          <w:rFonts w:ascii="Garamond" w:hAnsi="Garamond"/>
          <w:sz w:val="24"/>
          <w:szCs w:val="24"/>
        </w:rPr>
        <w:t xml:space="preserve"> </w:t>
      </w:r>
    </w:p>
    <w:p w:rsidR="00BF52ED" w:rsidRDefault="00BF52ED" w:rsidP="00363072">
      <w:pPr>
        <w:autoSpaceDE w:val="0"/>
        <w:autoSpaceDN w:val="0"/>
        <w:adjustRightInd w:val="0"/>
        <w:spacing w:after="0" w:line="240" w:lineRule="auto"/>
        <w:jc w:val="both"/>
        <w:rPr>
          <w:rFonts w:ascii="Garamond" w:hAnsi="Garamond"/>
          <w:sz w:val="24"/>
          <w:szCs w:val="24"/>
        </w:rPr>
      </w:pPr>
      <w:r w:rsidRPr="00BF52ED">
        <w:rPr>
          <w:rFonts w:ascii="Garamond" w:hAnsi="Garamond"/>
          <w:sz w:val="24"/>
          <w:szCs w:val="24"/>
        </w:rPr>
        <w:t>Also linked to the challenge of domestic resource mobilisation is capital flight and illicit financial</w:t>
      </w:r>
      <w:r>
        <w:rPr>
          <w:rFonts w:ascii="Garamond" w:hAnsi="Garamond"/>
          <w:sz w:val="24"/>
          <w:szCs w:val="24"/>
        </w:rPr>
        <w:t xml:space="preserve"> </w:t>
      </w:r>
      <w:r w:rsidRPr="00BF52ED">
        <w:rPr>
          <w:rFonts w:ascii="Garamond" w:hAnsi="Garamond"/>
          <w:sz w:val="24"/>
          <w:szCs w:val="24"/>
        </w:rPr>
        <w:t xml:space="preserve">flows. </w:t>
      </w:r>
      <w:r>
        <w:rPr>
          <w:rFonts w:ascii="Garamond" w:hAnsi="Garamond"/>
          <w:sz w:val="24"/>
          <w:szCs w:val="24"/>
        </w:rPr>
        <w:t xml:space="preserve">According to the 2015 Global Financial Integrity Report, illicit financial outflows through trade misinvoicing increased from USD 52 million in 2004 to USD 3.4 billion in 2013, grew on average by about 33 percent. </w:t>
      </w:r>
      <w:r w:rsidRPr="004E7E7D">
        <w:rPr>
          <w:rFonts w:ascii="Garamond" w:hAnsi="Garamond"/>
          <w:sz w:val="24"/>
          <w:szCs w:val="24"/>
        </w:rPr>
        <w:t xml:space="preserve">The volume of illicit financial </w:t>
      </w:r>
      <w:r>
        <w:rPr>
          <w:rFonts w:ascii="Garamond" w:hAnsi="Garamond"/>
          <w:sz w:val="24"/>
          <w:szCs w:val="24"/>
        </w:rPr>
        <w:t>out</w:t>
      </w:r>
      <w:r w:rsidRPr="004E7E7D">
        <w:rPr>
          <w:rFonts w:ascii="Garamond" w:hAnsi="Garamond"/>
          <w:sz w:val="24"/>
          <w:szCs w:val="24"/>
        </w:rPr>
        <w:t xml:space="preserve">flow </w:t>
      </w:r>
      <w:r>
        <w:rPr>
          <w:rFonts w:ascii="Garamond" w:hAnsi="Garamond"/>
          <w:sz w:val="24"/>
          <w:szCs w:val="24"/>
        </w:rPr>
        <w:t>through misinvoicing international trade transactions amounts to</w:t>
      </w:r>
      <w:r w:rsidRPr="004E7E7D">
        <w:rPr>
          <w:rFonts w:ascii="Garamond" w:hAnsi="Garamond"/>
          <w:sz w:val="24"/>
          <w:szCs w:val="24"/>
        </w:rPr>
        <w:t xml:space="preserve"> an average of USD 2 billion per </w:t>
      </w:r>
      <w:r>
        <w:rPr>
          <w:rFonts w:ascii="Garamond" w:hAnsi="Garamond"/>
          <w:sz w:val="24"/>
          <w:szCs w:val="24"/>
        </w:rPr>
        <w:t>year</w:t>
      </w:r>
      <w:r w:rsidRPr="004E7E7D">
        <w:rPr>
          <w:rFonts w:ascii="Garamond" w:hAnsi="Garamond"/>
          <w:sz w:val="24"/>
          <w:szCs w:val="24"/>
        </w:rPr>
        <w:t xml:space="preserve">. </w:t>
      </w:r>
      <w:r>
        <w:rPr>
          <w:rFonts w:ascii="Garamond" w:hAnsi="Garamond"/>
          <w:sz w:val="24"/>
          <w:szCs w:val="24"/>
        </w:rPr>
        <w:t>In particular, import trade misinvoicing has remained the main driver of illicit financial outflows, while export under-invoicing is less of a concern. This indicates some kind of capacity weaknesses in terms of arresting abuses of transfer pricing, especially by multinational enterprises. This calls for building domestic capacity to implement the transfer pricing rules</w:t>
      </w:r>
      <w:r>
        <w:rPr>
          <w:rStyle w:val="FootnoteReference"/>
          <w:rFonts w:ascii="Garamond" w:hAnsi="Garamond"/>
          <w:sz w:val="24"/>
          <w:szCs w:val="24"/>
        </w:rPr>
        <w:footnoteReference w:id="16"/>
      </w:r>
      <w:r>
        <w:rPr>
          <w:rFonts w:ascii="Garamond" w:hAnsi="Garamond"/>
          <w:sz w:val="24"/>
          <w:szCs w:val="24"/>
        </w:rPr>
        <w:t xml:space="preserve"> and t</w:t>
      </w:r>
      <w:r w:rsidRPr="009E67EC">
        <w:rPr>
          <w:rFonts w:ascii="Garamond" w:hAnsi="Garamond"/>
          <w:sz w:val="24"/>
          <w:szCs w:val="24"/>
        </w:rPr>
        <w:t xml:space="preserve">ake proactive steps to narrow the information gap and obtain regular and </w:t>
      </w:r>
      <w:r>
        <w:rPr>
          <w:rFonts w:ascii="Garamond" w:hAnsi="Garamond"/>
          <w:sz w:val="24"/>
          <w:szCs w:val="24"/>
        </w:rPr>
        <w:t xml:space="preserve">correct </w:t>
      </w:r>
      <w:r w:rsidRPr="009E67EC">
        <w:rPr>
          <w:rFonts w:ascii="Garamond" w:hAnsi="Garamond"/>
          <w:sz w:val="24"/>
          <w:szCs w:val="24"/>
        </w:rPr>
        <w:t xml:space="preserve">information from </w:t>
      </w:r>
      <w:r>
        <w:rPr>
          <w:rFonts w:ascii="Garamond" w:hAnsi="Garamond"/>
          <w:sz w:val="24"/>
          <w:szCs w:val="24"/>
        </w:rPr>
        <w:t xml:space="preserve">relevant </w:t>
      </w:r>
      <w:r w:rsidRPr="009E67EC">
        <w:rPr>
          <w:rFonts w:ascii="Garamond" w:hAnsi="Garamond"/>
          <w:sz w:val="24"/>
          <w:szCs w:val="24"/>
        </w:rPr>
        <w:t>companies.</w:t>
      </w:r>
      <w:r w:rsidRPr="0077554A">
        <w:rPr>
          <w:rFonts w:ascii="Garamond" w:hAnsi="Garamond"/>
          <w:sz w:val="24"/>
          <w:szCs w:val="24"/>
        </w:rPr>
        <w:t xml:space="preserve"> Th</w:t>
      </w:r>
      <w:r>
        <w:rPr>
          <w:rFonts w:ascii="Garamond" w:hAnsi="Garamond"/>
          <w:sz w:val="24"/>
          <w:szCs w:val="24"/>
        </w:rPr>
        <w:t xml:space="preserve">is also requires strengthening the audit preparation capacity of </w:t>
      </w:r>
      <w:r w:rsidRPr="0077554A">
        <w:rPr>
          <w:rFonts w:ascii="Garamond" w:hAnsi="Garamond"/>
          <w:sz w:val="24"/>
          <w:szCs w:val="24"/>
        </w:rPr>
        <w:t xml:space="preserve">tax administrations </w:t>
      </w:r>
      <w:r>
        <w:rPr>
          <w:rFonts w:ascii="Garamond" w:hAnsi="Garamond"/>
          <w:sz w:val="24"/>
          <w:szCs w:val="24"/>
        </w:rPr>
        <w:t xml:space="preserve">offices </w:t>
      </w:r>
      <w:r w:rsidRPr="0077554A">
        <w:rPr>
          <w:rFonts w:ascii="Garamond" w:hAnsi="Garamond"/>
          <w:sz w:val="24"/>
          <w:szCs w:val="24"/>
        </w:rPr>
        <w:t>to make information requests to taxpayers more precise and explicit, and enforce reporting and disclosure obligations.</w:t>
      </w:r>
      <w:r>
        <w:rPr>
          <w:rFonts w:ascii="Garamond" w:hAnsi="Garamond"/>
          <w:sz w:val="24"/>
          <w:szCs w:val="24"/>
        </w:rPr>
        <w:t xml:space="preserve"> Discussions with stakeholders indicate that</w:t>
      </w:r>
      <w:r w:rsidR="00426B8A">
        <w:rPr>
          <w:rFonts w:ascii="Garamond" w:hAnsi="Garamond"/>
          <w:sz w:val="24"/>
          <w:szCs w:val="24"/>
        </w:rPr>
        <w:t xml:space="preserve"> the Ethiopian Revenues and Customs Authority (</w:t>
      </w:r>
      <w:r>
        <w:rPr>
          <w:rFonts w:ascii="Garamond" w:hAnsi="Garamond"/>
          <w:sz w:val="24"/>
          <w:szCs w:val="24"/>
        </w:rPr>
        <w:t>ERCA</w:t>
      </w:r>
      <w:r w:rsidR="00426B8A">
        <w:rPr>
          <w:rFonts w:ascii="Garamond" w:hAnsi="Garamond"/>
          <w:sz w:val="24"/>
          <w:szCs w:val="24"/>
        </w:rPr>
        <w:t>)</w:t>
      </w:r>
      <w:r>
        <w:rPr>
          <w:rFonts w:ascii="Garamond" w:hAnsi="Garamond"/>
          <w:sz w:val="24"/>
          <w:szCs w:val="24"/>
        </w:rPr>
        <w:t xml:space="preserve"> has introduced the Ethiopian Customs Valuation System (ECVS) with the aim to improve information system, especially on generating up-to-date information on international prices of imports of goods. Although this system is expected to address price variation on imports and reduce malpractices, it is less applicable to exports. In addition, internal capacity problems with ERCA workers also limits the application of this system due to resistance and reluctance of using the technology, and this requires continuous capacity building and mindset change. </w:t>
      </w:r>
    </w:p>
    <w:p w:rsidR="00BF52ED" w:rsidRPr="00193DA2" w:rsidRDefault="00BF52ED" w:rsidP="00193DA2">
      <w:pPr>
        <w:pStyle w:val="Caption"/>
        <w:spacing w:after="0"/>
        <w:rPr>
          <w:rFonts w:ascii="Garamond" w:hAnsi="Garamond"/>
          <w:sz w:val="24"/>
          <w:szCs w:val="24"/>
        </w:rPr>
      </w:pPr>
      <w:bookmarkStart w:id="57" w:name="_Toc486585949"/>
      <w:r w:rsidRPr="00193DA2">
        <w:rPr>
          <w:rFonts w:ascii="Garamond" w:hAnsi="Garamond"/>
          <w:sz w:val="24"/>
          <w:szCs w:val="24"/>
        </w:rPr>
        <w:t>Figure</w:t>
      </w:r>
      <w:r w:rsidR="00193DA2" w:rsidRPr="00193DA2">
        <w:rPr>
          <w:rFonts w:ascii="Garamond" w:hAnsi="Garamond"/>
          <w:sz w:val="24"/>
          <w:szCs w:val="24"/>
        </w:rPr>
        <w:t xml:space="preserve"> </w:t>
      </w:r>
      <w:r w:rsidR="00BF3BBC" w:rsidRPr="00193DA2">
        <w:rPr>
          <w:rFonts w:ascii="Garamond" w:hAnsi="Garamond"/>
          <w:sz w:val="24"/>
          <w:szCs w:val="24"/>
        </w:rPr>
        <w:fldChar w:fldCharType="begin"/>
      </w:r>
      <w:r w:rsidR="00193DA2" w:rsidRPr="00193DA2">
        <w:rPr>
          <w:rFonts w:ascii="Garamond" w:hAnsi="Garamond"/>
          <w:sz w:val="24"/>
          <w:szCs w:val="24"/>
        </w:rPr>
        <w:instrText xml:space="preserve"> SEQ Figure \* ARABIC </w:instrText>
      </w:r>
      <w:r w:rsidR="00BF3BBC" w:rsidRPr="00193DA2">
        <w:rPr>
          <w:rFonts w:ascii="Garamond" w:hAnsi="Garamond"/>
          <w:sz w:val="24"/>
          <w:szCs w:val="24"/>
        </w:rPr>
        <w:fldChar w:fldCharType="separate"/>
      </w:r>
      <w:r w:rsidR="006C24A4">
        <w:rPr>
          <w:rFonts w:ascii="Garamond" w:hAnsi="Garamond"/>
          <w:noProof/>
          <w:sz w:val="24"/>
          <w:szCs w:val="24"/>
        </w:rPr>
        <w:t>14</w:t>
      </w:r>
      <w:r w:rsidR="00BF3BBC" w:rsidRPr="00193DA2">
        <w:rPr>
          <w:rFonts w:ascii="Garamond" w:hAnsi="Garamond"/>
          <w:sz w:val="24"/>
          <w:szCs w:val="24"/>
        </w:rPr>
        <w:fldChar w:fldCharType="end"/>
      </w:r>
      <w:r w:rsidRPr="00193DA2">
        <w:rPr>
          <w:rFonts w:ascii="Garamond" w:hAnsi="Garamond"/>
          <w:sz w:val="24"/>
          <w:szCs w:val="24"/>
        </w:rPr>
        <w:t>: Illicit financial outflows through misinvoicing international trade transactions (Million USD)</w:t>
      </w:r>
      <w:bookmarkEnd w:id="57"/>
    </w:p>
    <w:p w:rsidR="00BF52ED" w:rsidRDefault="00BF52ED" w:rsidP="00BF52ED">
      <w:pPr>
        <w:autoSpaceDE w:val="0"/>
        <w:autoSpaceDN w:val="0"/>
        <w:adjustRightInd w:val="0"/>
        <w:spacing w:after="0" w:line="240" w:lineRule="auto"/>
        <w:jc w:val="both"/>
        <w:rPr>
          <w:rFonts w:ascii="Garamond" w:hAnsi="Garamond"/>
          <w:sz w:val="24"/>
          <w:szCs w:val="24"/>
        </w:rPr>
      </w:pPr>
      <w:r>
        <w:rPr>
          <w:noProof/>
        </w:rPr>
        <w:drawing>
          <wp:inline distT="0" distB="0" distL="0" distR="0">
            <wp:extent cx="5616575" cy="1654628"/>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52ED" w:rsidRPr="00742929" w:rsidRDefault="00BF52ED" w:rsidP="00BF52ED">
      <w:pPr>
        <w:autoSpaceDE w:val="0"/>
        <w:autoSpaceDN w:val="0"/>
        <w:adjustRightInd w:val="0"/>
        <w:spacing w:after="0" w:line="240" w:lineRule="auto"/>
        <w:jc w:val="both"/>
        <w:rPr>
          <w:rFonts w:ascii="Garamond" w:hAnsi="Garamond"/>
        </w:rPr>
      </w:pPr>
      <w:r w:rsidRPr="00742929">
        <w:rPr>
          <w:rFonts w:ascii="Garamond" w:hAnsi="Garamond"/>
        </w:rPr>
        <w:t>Source: Global Financial Integrity Report (2015)</w:t>
      </w:r>
    </w:p>
    <w:p w:rsidR="006B5C47" w:rsidRDefault="006B5C47" w:rsidP="00C26A15">
      <w:pPr>
        <w:autoSpaceDE w:val="0"/>
        <w:autoSpaceDN w:val="0"/>
        <w:adjustRightInd w:val="0"/>
        <w:spacing w:after="0" w:line="240" w:lineRule="auto"/>
        <w:jc w:val="both"/>
        <w:rPr>
          <w:rFonts w:ascii="Garamond" w:hAnsi="Garamond"/>
          <w:sz w:val="24"/>
          <w:szCs w:val="24"/>
        </w:rPr>
      </w:pPr>
    </w:p>
    <w:p w:rsidR="00E2131F" w:rsidRDefault="006B5C47" w:rsidP="00E2131F">
      <w:pPr>
        <w:pStyle w:val="Default"/>
        <w:jc w:val="both"/>
        <w:rPr>
          <w:rFonts w:ascii="Garamond" w:hAnsi="Garamond"/>
        </w:rPr>
      </w:pPr>
      <w:r>
        <w:rPr>
          <w:rFonts w:ascii="Garamond" w:hAnsi="Garamond"/>
        </w:rPr>
        <w:t xml:space="preserve">In terms of institutional </w:t>
      </w:r>
      <w:r w:rsidR="00816D09">
        <w:rPr>
          <w:rFonts w:ascii="Garamond" w:hAnsi="Garamond"/>
        </w:rPr>
        <w:t>set up</w:t>
      </w:r>
      <w:r>
        <w:rPr>
          <w:rFonts w:ascii="Garamond" w:hAnsi="Garamond"/>
        </w:rPr>
        <w:t>, the Ethiopian Revenues and Customs Authority (</w:t>
      </w:r>
      <w:r w:rsidRPr="006B5C47">
        <w:rPr>
          <w:rFonts w:ascii="Garamond" w:hAnsi="Garamond"/>
        </w:rPr>
        <w:t xml:space="preserve">ERCA) is responsible for administering federal and Addis Ababa City Administration </w:t>
      </w:r>
      <w:r w:rsidR="004918F0">
        <w:rPr>
          <w:rFonts w:ascii="Garamond" w:hAnsi="Garamond"/>
        </w:rPr>
        <w:t xml:space="preserve">domestic </w:t>
      </w:r>
      <w:r w:rsidRPr="006B5C47">
        <w:rPr>
          <w:rFonts w:ascii="Garamond" w:hAnsi="Garamond"/>
        </w:rPr>
        <w:t>direct and indirect taxes and taxes on international trade under the supervision of the Prime Minister.</w:t>
      </w:r>
      <w:r>
        <w:rPr>
          <w:rFonts w:ascii="Garamond" w:hAnsi="Garamond"/>
        </w:rPr>
        <w:t xml:space="preserve"> </w:t>
      </w:r>
      <w:r w:rsidR="00816D09">
        <w:rPr>
          <w:rFonts w:ascii="Garamond" w:hAnsi="Garamond"/>
        </w:rPr>
        <w:t>The Ministry of Finance and Economic Cooperation</w:t>
      </w:r>
      <w:r w:rsidR="004918F0">
        <w:rPr>
          <w:rFonts w:ascii="Garamond" w:hAnsi="Garamond"/>
        </w:rPr>
        <w:t xml:space="preserve"> (MoFEC)</w:t>
      </w:r>
      <w:r w:rsidR="00816D09">
        <w:rPr>
          <w:rFonts w:ascii="Garamond" w:hAnsi="Garamond"/>
        </w:rPr>
        <w:t xml:space="preserve"> is in charge of fiscal policy design, while ERCA is responsible for implementing policies related to taxes. ERCA is led by the Director General and is supported </w:t>
      </w:r>
      <w:r w:rsidRPr="006B5C47">
        <w:rPr>
          <w:rFonts w:ascii="Garamond" w:hAnsi="Garamond"/>
        </w:rPr>
        <w:t>by a management team comprising Deputy Director Generals (</w:t>
      </w:r>
      <w:r w:rsidR="00B77D45">
        <w:rPr>
          <w:rFonts w:ascii="Garamond" w:hAnsi="Garamond"/>
        </w:rPr>
        <w:t xml:space="preserve">e.g. </w:t>
      </w:r>
      <w:r w:rsidRPr="006B5C47">
        <w:rPr>
          <w:rFonts w:ascii="Garamond" w:hAnsi="Garamond"/>
        </w:rPr>
        <w:t xml:space="preserve">in charge of federal domestic tax division, Addis Ababa domestic tax division, Customs division, </w:t>
      </w:r>
      <w:r w:rsidRPr="006B5C47">
        <w:rPr>
          <w:rFonts w:ascii="Garamond" w:hAnsi="Garamond"/>
        </w:rPr>
        <w:lastRenderedPageBreak/>
        <w:t>enforcement division, and modernization &amp; corporate division), Bureaus, and Directorates</w:t>
      </w:r>
      <w:r w:rsidR="00816D09">
        <w:rPr>
          <w:rFonts w:ascii="Garamond" w:hAnsi="Garamond"/>
        </w:rPr>
        <w:t>.</w:t>
      </w:r>
      <w:r w:rsidRPr="00816D09">
        <w:rPr>
          <w:rFonts w:ascii="Garamond" w:hAnsi="Garamond"/>
        </w:rPr>
        <w:t xml:space="preserve"> Domestic Tax Operations are carried out at 140 tax office administering the</w:t>
      </w:r>
      <w:r w:rsidRPr="006B5C47">
        <w:rPr>
          <w:rFonts w:ascii="Garamond" w:hAnsi="Garamond"/>
        </w:rPr>
        <w:t xml:space="preserve"> affairs of large, medium, small, and micro taxpayers. </w:t>
      </w:r>
      <w:r w:rsidR="00E70E7B">
        <w:rPr>
          <w:rFonts w:ascii="Garamond" w:hAnsi="Garamond"/>
        </w:rPr>
        <w:t xml:space="preserve">Recent performance assessment report of ERCA highlighted a number of </w:t>
      </w:r>
      <w:r w:rsidR="00936102">
        <w:rPr>
          <w:rFonts w:ascii="Garamond" w:hAnsi="Garamond"/>
        </w:rPr>
        <w:t xml:space="preserve">institutional </w:t>
      </w:r>
      <w:r w:rsidR="00F44110">
        <w:rPr>
          <w:rFonts w:ascii="Garamond" w:hAnsi="Garamond"/>
        </w:rPr>
        <w:t>challenges (</w:t>
      </w:r>
      <w:r w:rsidR="00F44110" w:rsidRPr="00816D09">
        <w:rPr>
          <w:rFonts w:ascii="Garamond" w:hAnsi="Garamond"/>
        </w:rPr>
        <w:t>Muyangwa</w:t>
      </w:r>
      <w:r w:rsidR="00F44110">
        <w:rPr>
          <w:rFonts w:ascii="Garamond" w:hAnsi="Garamond"/>
        </w:rPr>
        <w:t xml:space="preserve"> </w:t>
      </w:r>
      <w:r w:rsidR="00F44110" w:rsidRPr="00816D09">
        <w:rPr>
          <w:rFonts w:ascii="Garamond" w:hAnsi="Garamond"/>
          <w:i/>
        </w:rPr>
        <w:t>et al</w:t>
      </w:r>
      <w:r w:rsidR="00F44110">
        <w:rPr>
          <w:rFonts w:ascii="Garamond" w:hAnsi="Garamond"/>
        </w:rPr>
        <w:t>., 2016)</w:t>
      </w:r>
      <w:r w:rsidR="00936102">
        <w:rPr>
          <w:rFonts w:ascii="Garamond" w:hAnsi="Garamond"/>
        </w:rPr>
        <w:t>. These include among others</w:t>
      </w:r>
      <w:r w:rsidR="00E70E7B">
        <w:rPr>
          <w:rFonts w:ascii="Garamond" w:hAnsi="Garamond"/>
        </w:rPr>
        <w:t xml:space="preserve"> weak information technology administration system, inaccurate database, weak compliance risk management program, l</w:t>
      </w:r>
      <w:r w:rsidR="00E70E7B" w:rsidRPr="00E70E7B">
        <w:rPr>
          <w:rFonts w:ascii="Garamond" w:hAnsi="Garamond"/>
        </w:rPr>
        <w:t xml:space="preserve">ack of electronic payment facility, </w:t>
      </w:r>
      <w:r w:rsidR="00E70E7B">
        <w:rPr>
          <w:rFonts w:ascii="Garamond" w:hAnsi="Garamond"/>
        </w:rPr>
        <w:t>w</w:t>
      </w:r>
      <w:r w:rsidR="00E70E7B" w:rsidRPr="00E70E7B">
        <w:rPr>
          <w:rFonts w:ascii="Garamond" w:hAnsi="Garamond"/>
        </w:rPr>
        <w:t>eak internal audit function not providing oversight on all key operations</w:t>
      </w:r>
      <w:r w:rsidR="00E2131F" w:rsidRPr="00FA1F07">
        <w:rPr>
          <w:rFonts w:ascii="Garamond" w:hAnsi="Garamond"/>
        </w:rPr>
        <w:t xml:space="preserve">, </w:t>
      </w:r>
      <w:r w:rsidR="00E2131F" w:rsidRPr="00E70E7B">
        <w:rPr>
          <w:rFonts w:ascii="Garamond" w:hAnsi="Garamond"/>
        </w:rPr>
        <w:t>lack</w:t>
      </w:r>
      <w:r w:rsidR="00E2131F">
        <w:rPr>
          <w:rFonts w:ascii="Garamond" w:hAnsi="Garamond"/>
        </w:rPr>
        <w:t xml:space="preserve"> of </w:t>
      </w:r>
      <w:r w:rsidR="00E2131F" w:rsidRPr="00E2131F">
        <w:rPr>
          <w:rFonts w:ascii="Garamond" w:hAnsi="Garamond"/>
        </w:rPr>
        <w:t xml:space="preserve">impact assessment or evaluation of compliance activities, relies on use of manual operations (outside of SIGTAS), deficient VAT refund system, and weak coordination among key directorates and with branches. </w:t>
      </w:r>
    </w:p>
    <w:p w:rsidR="00E2131F" w:rsidRDefault="0048611F" w:rsidP="00254EB5">
      <w:pPr>
        <w:autoSpaceDE w:val="0"/>
        <w:autoSpaceDN w:val="0"/>
        <w:adjustRightInd w:val="0"/>
        <w:spacing w:after="0" w:line="240" w:lineRule="auto"/>
        <w:jc w:val="both"/>
        <w:rPr>
          <w:rFonts w:ascii="Garamond" w:eastAsia="Calibri" w:hAnsi="Garamond" w:cs="Calibri"/>
          <w:color w:val="000000"/>
          <w:sz w:val="24"/>
          <w:szCs w:val="24"/>
        </w:rPr>
      </w:pPr>
      <w:r w:rsidRPr="0048611F">
        <w:rPr>
          <w:rFonts w:ascii="Garamond" w:eastAsia="Calibri" w:hAnsi="Garamond" w:cs="Calibri"/>
          <w:color w:val="000000"/>
          <w:sz w:val="24"/>
          <w:szCs w:val="24"/>
        </w:rPr>
        <w:t>Looking forward, the main sources of tax should be derived from domestic sources to ensure</w:t>
      </w:r>
      <w:r>
        <w:rPr>
          <w:rFonts w:ascii="Garamond" w:eastAsia="Calibri" w:hAnsi="Garamond" w:cs="Calibri"/>
          <w:color w:val="000000"/>
          <w:sz w:val="24"/>
          <w:szCs w:val="24"/>
        </w:rPr>
        <w:t xml:space="preserve"> </w:t>
      </w:r>
      <w:r w:rsidRPr="0048611F">
        <w:rPr>
          <w:rFonts w:ascii="Garamond" w:eastAsia="Calibri" w:hAnsi="Garamond" w:cs="Calibri"/>
          <w:color w:val="000000"/>
          <w:sz w:val="24"/>
          <w:szCs w:val="24"/>
        </w:rPr>
        <w:t xml:space="preserve">sustainability of finance for development. However, since </w:t>
      </w:r>
      <w:r>
        <w:rPr>
          <w:rFonts w:ascii="Garamond" w:eastAsia="Calibri" w:hAnsi="Garamond" w:cs="Calibri"/>
          <w:color w:val="000000"/>
          <w:sz w:val="24"/>
          <w:szCs w:val="24"/>
        </w:rPr>
        <w:t xml:space="preserve">there is a large informal </w:t>
      </w:r>
      <w:r w:rsidRPr="0048611F">
        <w:rPr>
          <w:rFonts w:ascii="Garamond" w:eastAsia="Calibri" w:hAnsi="Garamond" w:cs="Calibri"/>
          <w:color w:val="000000"/>
          <w:sz w:val="24"/>
          <w:szCs w:val="24"/>
        </w:rPr>
        <w:t xml:space="preserve">economy, the </w:t>
      </w:r>
      <w:r>
        <w:rPr>
          <w:rFonts w:ascii="Garamond" w:eastAsia="Calibri" w:hAnsi="Garamond" w:cs="Calibri"/>
          <w:color w:val="000000"/>
          <w:sz w:val="24"/>
          <w:szCs w:val="24"/>
        </w:rPr>
        <w:t xml:space="preserve">there is a need to </w:t>
      </w:r>
      <w:r w:rsidR="00B77D45">
        <w:rPr>
          <w:rFonts w:ascii="Garamond" w:eastAsia="Calibri" w:hAnsi="Garamond" w:cs="Calibri"/>
          <w:color w:val="000000"/>
          <w:sz w:val="24"/>
          <w:szCs w:val="24"/>
        </w:rPr>
        <w:t xml:space="preserve">focus </w:t>
      </w:r>
      <w:r>
        <w:rPr>
          <w:rFonts w:ascii="Garamond" w:eastAsia="Calibri" w:hAnsi="Garamond" w:cs="Calibri"/>
          <w:color w:val="000000"/>
          <w:sz w:val="24"/>
          <w:szCs w:val="24"/>
        </w:rPr>
        <w:t xml:space="preserve">on </w:t>
      </w:r>
      <w:r w:rsidRPr="0048611F">
        <w:rPr>
          <w:rFonts w:ascii="Garamond" w:eastAsia="Calibri" w:hAnsi="Garamond" w:cs="Calibri"/>
          <w:color w:val="000000"/>
          <w:sz w:val="24"/>
          <w:szCs w:val="24"/>
        </w:rPr>
        <w:t xml:space="preserve">registering </w:t>
      </w:r>
      <w:r w:rsidR="00B77D45">
        <w:rPr>
          <w:rFonts w:ascii="Garamond" w:eastAsia="Calibri" w:hAnsi="Garamond" w:cs="Calibri"/>
          <w:color w:val="000000"/>
          <w:sz w:val="24"/>
          <w:szCs w:val="24"/>
        </w:rPr>
        <w:t xml:space="preserve">this part of the economy </w:t>
      </w:r>
      <w:r w:rsidRPr="0048611F">
        <w:rPr>
          <w:rFonts w:ascii="Garamond" w:eastAsia="Calibri" w:hAnsi="Garamond" w:cs="Calibri"/>
          <w:color w:val="000000"/>
          <w:sz w:val="24"/>
          <w:szCs w:val="24"/>
        </w:rPr>
        <w:t>to bring them into the</w:t>
      </w:r>
      <w:r>
        <w:rPr>
          <w:rFonts w:ascii="Garamond" w:eastAsia="Calibri" w:hAnsi="Garamond" w:cs="Calibri"/>
          <w:color w:val="000000"/>
          <w:sz w:val="24"/>
          <w:szCs w:val="24"/>
        </w:rPr>
        <w:t xml:space="preserve"> tax n</w:t>
      </w:r>
      <w:r w:rsidRPr="0048611F">
        <w:rPr>
          <w:rFonts w:ascii="Garamond" w:eastAsia="Calibri" w:hAnsi="Garamond" w:cs="Calibri"/>
          <w:color w:val="000000"/>
          <w:sz w:val="24"/>
          <w:szCs w:val="24"/>
        </w:rPr>
        <w:t xml:space="preserve">et. Expansion of the income tax base and bringing more individuals and companies under the tax net would help to drive revenue growth. </w:t>
      </w:r>
      <w:r w:rsidR="00254EB5" w:rsidRPr="00254EB5">
        <w:rPr>
          <w:rFonts w:ascii="Garamond" w:eastAsia="Calibri" w:hAnsi="Garamond" w:cs="Calibri"/>
          <w:color w:val="000000"/>
          <w:sz w:val="24"/>
          <w:szCs w:val="24"/>
        </w:rPr>
        <w:t xml:space="preserve">In order to achieve this, </w:t>
      </w:r>
      <w:r w:rsidR="00254EB5">
        <w:rPr>
          <w:rFonts w:ascii="Garamond" w:eastAsia="Calibri" w:hAnsi="Garamond" w:cs="Calibri"/>
          <w:color w:val="000000"/>
          <w:sz w:val="24"/>
          <w:szCs w:val="24"/>
        </w:rPr>
        <w:t xml:space="preserve">there is a need to </w:t>
      </w:r>
      <w:r w:rsidR="00254EB5" w:rsidRPr="00254EB5">
        <w:rPr>
          <w:rFonts w:ascii="Garamond" w:eastAsia="Calibri" w:hAnsi="Garamond" w:cs="Calibri"/>
          <w:color w:val="000000"/>
          <w:sz w:val="24"/>
          <w:szCs w:val="24"/>
        </w:rPr>
        <w:t xml:space="preserve">press ahead with further automation of the tax administration system, and </w:t>
      </w:r>
      <w:r w:rsidR="00254EB5">
        <w:rPr>
          <w:rFonts w:ascii="Garamond" w:eastAsia="Calibri" w:hAnsi="Garamond" w:cs="Calibri"/>
          <w:color w:val="000000"/>
          <w:sz w:val="24"/>
          <w:szCs w:val="24"/>
        </w:rPr>
        <w:t>strengthening ERCA through training and establishing robust systems at various levels.</w:t>
      </w:r>
      <w:r w:rsidR="00426B8A">
        <w:rPr>
          <w:rFonts w:ascii="Garamond" w:eastAsia="Calibri" w:hAnsi="Garamond" w:cs="Calibri"/>
          <w:color w:val="000000"/>
          <w:sz w:val="24"/>
          <w:szCs w:val="24"/>
        </w:rPr>
        <w:t xml:space="preserve"> Specifically, key intervention areas include (NPC, 2016):</w:t>
      </w:r>
    </w:p>
    <w:p w:rsidR="00426B8A" w:rsidRDefault="00426B8A" w:rsidP="00426B8A">
      <w:pPr>
        <w:pStyle w:val="ListParagraph"/>
        <w:numPr>
          <w:ilvl w:val="0"/>
          <w:numId w:val="21"/>
        </w:numPr>
        <w:autoSpaceDE w:val="0"/>
        <w:autoSpaceDN w:val="0"/>
        <w:adjustRightInd w:val="0"/>
        <w:spacing w:after="0" w:line="240" w:lineRule="auto"/>
        <w:jc w:val="both"/>
        <w:rPr>
          <w:rFonts w:ascii="Garamond" w:hAnsi="Garamond"/>
          <w:sz w:val="24"/>
          <w:szCs w:val="24"/>
        </w:rPr>
      </w:pPr>
      <w:r w:rsidRPr="00AB042C">
        <w:rPr>
          <w:rFonts w:ascii="Garamond" w:hAnsi="Garamond"/>
          <w:sz w:val="24"/>
          <w:szCs w:val="24"/>
        </w:rPr>
        <w:t xml:space="preserve">strengthening system and institutional capacity development of the sector, </w:t>
      </w:r>
    </w:p>
    <w:p w:rsidR="00426B8A" w:rsidRDefault="00426B8A" w:rsidP="00426B8A">
      <w:pPr>
        <w:pStyle w:val="ListParagraph"/>
        <w:numPr>
          <w:ilvl w:val="0"/>
          <w:numId w:val="21"/>
        </w:numPr>
        <w:autoSpaceDE w:val="0"/>
        <w:autoSpaceDN w:val="0"/>
        <w:adjustRightInd w:val="0"/>
        <w:spacing w:after="0" w:line="240" w:lineRule="auto"/>
        <w:jc w:val="both"/>
        <w:rPr>
          <w:rFonts w:ascii="Garamond" w:hAnsi="Garamond"/>
          <w:sz w:val="24"/>
          <w:szCs w:val="24"/>
        </w:rPr>
      </w:pPr>
      <w:r w:rsidRPr="00AB042C">
        <w:rPr>
          <w:rFonts w:ascii="Garamond" w:hAnsi="Garamond"/>
          <w:sz w:val="24"/>
          <w:szCs w:val="24"/>
        </w:rPr>
        <w:t xml:space="preserve">establishing a modern and reliable trade information system, </w:t>
      </w:r>
    </w:p>
    <w:p w:rsidR="00426B8A" w:rsidRDefault="00426B8A" w:rsidP="00426B8A">
      <w:pPr>
        <w:pStyle w:val="ListParagraph"/>
        <w:numPr>
          <w:ilvl w:val="0"/>
          <w:numId w:val="21"/>
        </w:numPr>
        <w:autoSpaceDE w:val="0"/>
        <w:autoSpaceDN w:val="0"/>
        <w:adjustRightInd w:val="0"/>
        <w:spacing w:after="0" w:line="240" w:lineRule="auto"/>
        <w:jc w:val="both"/>
        <w:rPr>
          <w:rFonts w:ascii="Garamond" w:hAnsi="Garamond"/>
          <w:sz w:val="24"/>
          <w:szCs w:val="24"/>
        </w:rPr>
      </w:pPr>
      <w:r w:rsidRPr="00AB042C">
        <w:rPr>
          <w:rFonts w:ascii="Garamond" w:hAnsi="Garamond"/>
          <w:sz w:val="24"/>
          <w:szCs w:val="24"/>
        </w:rPr>
        <w:t xml:space="preserve">building integrated information network (by linking sectoral implementing institutions, regional states and city administrations), </w:t>
      </w:r>
    </w:p>
    <w:p w:rsidR="00426B8A" w:rsidRDefault="00426B8A" w:rsidP="00426B8A">
      <w:pPr>
        <w:pStyle w:val="ListParagraph"/>
        <w:numPr>
          <w:ilvl w:val="0"/>
          <w:numId w:val="21"/>
        </w:numPr>
        <w:autoSpaceDE w:val="0"/>
        <w:autoSpaceDN w:val="0"/>
        <w:adjustRightInd w:val="0"/>
        <w:spacing w:after="0" w:line="240" w:lineRule="auto"/>
        <w:jc w:val="both"/>
        <w:rPr>
          <w:rFonts w:ascii="Garamond" w:hAnsi="Garamond"/>
          <w:sz w:val="24"/>
          <w:szCs w:val="24"/>
        </w:rPr>
      </w:pPr>
      <w:r w:rsidRPr="00AB042C">
        <w:rPr>
          <w:rFonts w:ascii="Garamond" w:hAnsi="Garamond"/>
          <w:sz w:val="24"/>
          <w:szCs w:val="24"/>
        </w:rPr>
        <w:t xml:space="preserve">establishing Trade Development Academy for building sustainable trade capacity, </w:t>
      </w:r>
    </w:p>
    <w:p w:rsidR="00426B8A" w:rsidRDefault="00426B8A" w:rsidP="00426B8A">
      <w:pPr>
        <w:pStyle w:val="ListParagraph"/>
        <w:numPr>
          <w:ilvl w:val="0"/>
          <w:numId w:val="21"/>
        </w:numPr>
        <w:autoSpaceDE w:val="0"/>
        <w:autoSpaceDN w:val="0"/>
        <w:adjustRightInd w:val="0"/>
        <w:spacing w:after="0" w:line="240" w:lineRule="auto"/>
        <w:jc w:val="both"/>
        <w:rPr>
          <w:rFonts w:ascii="Garamond" w:hAnsi="Garamond"/>
          <w:sz w:val="24"/>
          <w:szCs w:val="24"/>
        </w:rPr>
      </w:pPr>
      <w:r w:rsidRPr="00AB042C">
        <w:rPr>
          <w:rFonts w:ascii="Garamond" w:hAnsi="Garamond"/>
          <w:sz w:val="24"/>
          <w:szCs w:val="24"/>
        </w:rPr>
        <w:t xml:space="preserve">developing a harmonized national trade policy, and </w:t>
      </w:r>
    </w:p>
    <w:p w:rsidR="00426B8A" w:rsidRDefault="00426B8A" w:rsidP="00426B8A">
      <w:pPr>
        <w:pStyle w:val="ListParagraph"/>
        <w:numPr>
          <w:ilvl w:val="0"/>
          <w:numId w:val="21"/>
        </w:numPr>
        <w:autoSpaceDE w:val="0"/>
        <w:autoSpaceDN w:val="0"/>
        <w:adjustRightInd w:val="0"/>
        <w:spacing w:after="0" w:line="240" w:lineRule="auto"/>
        <w:jc w:val="both"/>
        <w:rPr>
          <w:rFonts w:ascii="Garamond" w:hAnsi="Garamond"/>
          <w:sz w:val="24"/>
          <w:szCs w:val="24"/>
        </w:rPr>
      </w:pPr>
      <w:r w:rsidRPr="00AB042C">
        <w:rPr>
          <w:rFonts w:ascii="Garamond" w:hAnsi="Garamond"/>
          <w:sz w:val="24"/>
          <w:szCs w:val="24"/>
        </w:rPr>
        <w:t xml:space="preserve">expanding trade registration and licensing services to enhance a modern, fair and competitive trade system and support the trade registration and licensing system with modern technology. </w:t>
      </w:r>
    </w:p>
    <w:p w:rsidR="00426B8A" w:rsidRPr="00E2131F" w:rsidRDefault="00426B8A" w:rsidP="00254EB5">
      <w:pPr>
        <w:autoSpaceDE w:val="0"/>
        <w:autoSpaceDN w:val="0"/>
        <w:adjustRightInd w:val="0"/>
        <w:spacing w:after="0" w:line="240" w:lineRule="auto"/>
        <w:jc w:val="both"/>
        <w:rPr>
          <w:rFonts w:ascii="Garamond" w:eastAsia="Calibri" w:hAnsi="Garamond"/>
          <w:color w:val="000000"/>
          <w:sz w:val="24"/>
          <w:szCs w:val="24"/>
        </w:rPr>
      </w:pPr>
    </w:p>
    <w:p w:rsidR="008046F4" w:rsidRPr="00D7385A" w:rsidRDefault="00E2131F" w:rsidP="00D7385A">
      <w:pPr>
        <w:pStyle w:val="Heading2"/>
        <w:rPr>
          <w:rFonts w:ascii="Garamond" w:hAnsi="Garamond"/>
          <w:b/>
          <w:sz w:val="24"/>
          <w:szCs w:val="24"/>
        </w:rPr>
      </w:pPr>
      <w:r w:rsidRPr="00D7385A">
        <w:rPr>
          <w:rFonts w:ascii="Garamond" w:eastAsiaTheme="minorHAnsi" w:hAnsi="Garamond"/>
          <w:b/>
          <w:sz w:val="24"/>
          <w:szCs w:val="24"/>
          <w:lang w:val="en-GB"/>
        </w:rPr>
        <w:t xml:space="preserve"> </w:t>
      </w:r>
      <w:bookmarkStart w:id="58" w:name="_Toc486782270"/>
      <w:r w:rsidR="00E9248D" w:rsidRPr="00D7385A">
        <w:rPr>
          <w:rFonts w:ascii="Garamond" w:hAnsi="Garamond"/>
          <w:b/>
          <w:sz w:val="24"/>
          <w:szCs w:val="24"/>
        </w:rPr>
        <w:t>5</w:t>
      </w:r>
      <w:r w:rsidR="00E016A0" w:rsidRPr="00D7385A">
        <w:rPr>
          <w:rFonts w:ascii="Garamond" w:hAnsi="Garamond"/>
          <w:b/>
          <w:sz w:val="24"/>
          <w:szCs w:val="24"/>
        </w:rPr>
        <w:t xml:space="preserve">.2 </w:t>
      </w:r>
      <w:r w:rsidR="008046F4" w:rsidRPr="00D7385A">
        <w:rPr>
          <w:rFonts w:ascii="Garamond" w:hAnsi="Garamond"/>
          <w:b/>
          <w:sz w:val="24"/>
          <w:szCs w:val="24"/>
        </w:rPr>
        <w:t>Supply of finance with banks and outside banks</w:t>
      </w:r>
      <w:bookmarkEnd w:id="58"/>
      <w:r w:rsidR="008046F4" w:rsidRPr="00D7385A">
        <w:rPr>
          <w:rFonts w:ascii="Garamond" w:hAnsi="Garamond"/>
          <w:b/>
          <w:sz w:val="24"/>
          <w:szCs w:val="24"/>
        </w:rPr>
        <w:t xml:space="preserve"> </w:t>
      </w:r>
    </w:p>
    <w:p w:rsidR="008046F4" w:rsidRDefault="008046F4" w:rsidP="00C26A15">
      <w:pPr>
        <w:autoSpaceDE w:val="0"/>
        <w:autoSpaceDN w:val="0"/>
        <w:adjustRightInd w:val="0"/>
        <w:spacing w:after="0" w:line="240" w:lineRule="auto"/>
        <w:jc w:val="both"/>
        <w:rPr>
          <w:rFonts w:ascii="Garamond" w:hAnsi="Garamond"/>
          <w:b/>
          <w:sz w:val="24"/>
          <w:szCs w:val="24"/>
        </w:rPr>
      </w:pPr>
    </w:p>
    <w:p w:rsidR="008046F4" w:rsidRPr="00E9248D" w:rsidRDefault="00826A91" w:rsidP="00E9248D">
      <w:pPr>
        <w:pStyle w:val="Heading4"/>
        <w:rPr>
          <w:rFonts w:ascii="Garamond" w:hAnsi="Garamond"/>
          <w:b/>
          <w:i w:val="0"/>
          <w:sz w:val="24"/>
          <w:szCs w:val="24"/>
        </w:rPr>
      </w:pPr>
      <w:r>
        <w:rPr>
          <w:rFonts w:ascii="Garamond" w:hAnsi="Garamond"/>
          <w:b/>
          <w:i w:val="0"/>
          <w:sz w:val="24"/>
          <w:szCs w:val="24"/>
        </w:rPr>
        <w:t xml:space="preserve">(i) </w:t>
      </w:r>
      <w:r w:rsidR="008046F4" w:rsidRPr="00E9248D">
        <w:rPr>
          <w:rFonts w:ascii="Garamond" w:hAnsi="Garamond"/>
          <w:b/>
          <w:i w:val="0"/>
          <w:sz w:val="24"/>
          <w:szCs w:val="24"/>
        </w:rPr>
        <w:t xml:space="preserve">Supply of finance from banks </w:t>
      </w:r>
    </w:p>
    <w:p w:rsidR="008046F4" w:rsidRDefault="005E6A0A" w:rsidP="00C26A15">
      <w:pPr>
        <w:autoSpaceDE w:val="0"/>
        <w:autoSpaceDN w:val="0"/>
        <w:adjustRightInd w:val="0"/>
        <w:spacing w:after="0" w:line="240" w:lineRule="auto"/>
        <w:jc w:val="both"/>
        <w:rPr>
          <w:rFonts w:ascii="Garamond" w:hAnsi="Garamond"/>
          <w:sz w:val="24"/>
          <w:szCs w:val="24"/>
        </w:rPr>
      </w:pPr>
      <w:r w:rsidRPr="00F8122C">
        <w:rPr>
          <w:rFonts w:ascii="Garamond" w:hAnsi="Garamond"/>
          <w:sz w:val="24"/>
          <w:szCs w:val="24"/>
        </w:rPr>
        <w:t xml:space="preserve">The total number </w:t>
      </w:r>
      <w:r>
        <w:rPr>
          <w:rFonts w:ascii="Garamond" w:hAnsi="Garamond"/>
          <w:sz w:val="24"/>
          <w:szCs w:val="24"/>
        </w:rPr>
        <w:t xml:space="preserve">of banks (including government and private banks) reached </w:t>
      </w:r>
      <w:r w:rsidRPr="00F8122C">
        <w:rPr>
          <w:rFonts w:ascii="Garamond" w:hAnsi="Garamond"/>
          <w:sz w:val="24"/>
          <w:szCs w:val="24"/>
        </w:rPr>
        <w:t>19 and the</w:t>
      </w:r>
      <w:r>
        <w:rPr>
          <w:rFonts w:ascii="Garamond" w:hAnsi="Garamond"/>
          <w:sz w:val="24"/>
          <w:szCs w:val="24"/>
        </w:rPr>
        <w:t xml:space="preserve">re were 2,868 bank branches </w:t>
      </w:r>
      <w:r w:rsidRPr="00F8122C">
        <w:rPr>
          <w:rFonts w:ascii="Garamond" w:hAnsi="Garamond"/>
          <w:sz w:val="24"/>
          <w:szCs w:val="24"/>
        </w:rPr>
        <w:t xml:space="preserve">in 2014/15. </w:t>
      </w:r>
      <w:r>
        <w:rPr>
          <w:rFonts w:ascii="Garamond" w:hAnsi="Garamond"/>
          <w:sz w:val="24"/>
          <w:szCs w:val="24"/>
        </w:rPr>
        <w:t>One of the indicators of access to bank services is the ratio of p</w:t>
      </w:r>
      <w:r w:rsidRPr="00F8122C">
        <w:rPr>
          <w:rFonts w:ascii="Garamond" w:hAnsi="Garamond"/>
          <w:sz w:val="24"/>
          <w:szCs w:val="24"/>
        </w:rPr>
        <w:t>opulation to bank branch</w:t>
      </w:r>
      <w:r>
        <w:rPr>
          <w:rFonts w:ascii="Garamond" w:hAnsi="Garamond"/>
          <w:sz w:val="24"/>
          <w:szCs w:val="24"/>
        </w:rPr>
        <w:t xml:space="preserve"> which is low in Ethiopia, indicating large unbanked population. In 2014/15, a bank branch served about 30,334 people (NPC, 2016)</w:t>
      </w:r>
      <w:r w:rsidRPr="00F8122C">
        <w:rPr>
          <w:rFonts w:ascii="Garamond" w:hAnsi="Garamond"/>
          <w:sz w:val="24"/>
          <w:szCs w:val="24"/>
        </w:rPr>
        <w:t xml:space="preserve">. </w:t>
      </w:r>
      <w:r w:rsidR="008046F4" w:rsidRPr="00851E11">
        <w:rPr>
          <w:rFonts w:ascii="Garamond" w:hAnsi="Garamond"/>
          <w:sz w:val="24"/>
          <w:szCs w:val="24"/>
        </w:rPr>
        <w:t xml:space="preserve">The total loanable fund </w:t>
      </w:r>
      <w:r w:rsidR="008046F4">
        <w:rPr>
          <w:rFonts w:ascii="Garamond" w:hAnsi="Garamond"/>
          <w:sz w:val="24"/>
          <w:szCs w:val="24"/>
        </w:rPr>
        <w:t>with the financial institutions, especially in banks consists of loan collection, savings/deposits, and other sources of finance. The total loanable fund increased from ETB 51.7 billion in 2010/11 to ETB 157.3 billion in 2015/16, increased on average by about 20.9 percent per year (Figure 1</w:t>
      </w:r>
      <w:r w:rsidR="00934ED0">
        <w:rPr>
          <w:rFonts w:ascii="Garamond" w:hAnsi="Garamond"/>
          <w:sz w:val="24"/>
          <w:szCs w:val="24"/>
        </w:rPr>
        <w:t>5</w:t>
      </w:r>
      <w:r w:rsidR="008046F4">
        <w:rPr>
          <w:rFonts w:ascii="Garamond" w:hAnsi="Garamond"/>
          <w:sz w:val="24"/>
          <w:szCs w:val="24"/>
        </w:rPr>
        <w:t>). Saving and loan collection are the main sources of loanable fund. In particular, deposits have increased from ETB 19.3 billion to ETB 63.6 billion in 2015/16, grew by about 21.8 percent.</w:t>
      </w:r>
    </w:p>
    <w:p w:rsidR="002B0AB3" w:rsidRDefault="002B0AB3" w:rsidP="00C26A15">
      <w:pPr>
        <w:autoSpaceDE w:val="0"/>
        <w:autoSpaceDN w:val="0"/>
        <w:adjustRightInd w:val="0"/>
        <w:spacing w:after="0" w:line="240" w:lineRule="auto"/>
        <w:jc w:val="both"/>
        <w:rPr>
          <w:rFonts w:ascii="Garamond" w:hAnsi="Garamond"/>
          <w:sz w:val="24"/>
          <w:szCs w:val="24"/>
        </w:rPr>
      </w:pPr>
    </w:p>
    <w:p w:rsidR="002B0AB3" w:rsidRDefault="002B0AB3" w:rsidP="00C26A15">
      <w:pPr>
        <w:autoSpaceDE w:val="0"/>
        <w:autoSpaceDN w:val="0"/>
        <w:adjustRightInd w:val="0"/>
        <w:spacing w:after="0" w:line="240" w:lineRule="auto"/>
        <w:jc w:val="both"/>
        <w:rPr>
          <w:rFonts w:ascii="Garamond" w:hAnsi="Garamond"/>
          <w:sz w:val="24"/>
          <w:szCs w:val="24"/>
        </w:rPr>
      </w:pPr>
    </w:p>
    <w:p w:rsidR="002B0AB3" w:rsidRDefault="002B0AB3" w:rsidP="00C26A15">
      <w:pPr>
        <w:autoSpaceDE w:val="0"/>
        <w:autoSpaceDN w:val="0"/>
        <w:adjustRightInd w:val="0"/>
        <w:spacing w:after="0" w:line="240" w:lineRule="auto"/>
        <w:jc w:val="both"/>
        <w:rPr>
          <w:rFonts w:ascii="Garamond" w:hAnsi="Garamond"/>
          <w:sz w:val="24"/>
          <w:szCs w:val="24"/>
        </w:rPr>
      </w:pPr>
    </w:p>
    <w:p w:rsidR="006B3CC7" w:rsidRDefault="006B3CC7" w:rsidP="00C26A15">
      <w:pPr>
        <w:autoSpaceDE w:val="0"/>
        <w:autoSpaceDN w:val="0"/>
        <w:adjustRightInd w:val="0"/>
        <w:spacing w:after="0" w:line="240" w:lineRule="auto"/>
        <w:jc w:val="both"/>
        <w:rPr>
          <w:rFonts w:ascii="Garamond" w:hAnsi="Garamond"/>
          <w:sz w:val="24"/>
          <w:szCs w:val="24"/>
        </w:rPr>
      </w:pPr>
    </w:p>
    <w:p w:rsidR="006B3CC7" w:rsidRDefault="006B3CC7" w:rsidP="00C26A15">
      <w:pPr>
        <w:autoSpaceDE w:val="0"/>
        <w:autoSpaceDN w:val="0"/>
        <w:adjustRightInd w:val="0"/>
        <w:spacing w:after="0" w:line="240" w:lineRule="auto"/>
        <w:jc w:val="both"/>
        <w:rPr>
          <w:rFonts w:ascii="Garamond" w:hAnsi="Garamond"/>
          <w:sz w:val="24"/>
          <w:szCs w:val="24"/>
        </w:rPr>
      </w:pPr>
    </w:p>
    <w:p w:rsidR="002B0AB3" w:rsidRDefault="002B0AB3" w:rsidP="00C26A15">
      <w:pPr>
        <w:autoSpaceDE w:val="0"/>
        <w:autoSpaceDN w:val="0"/>
        <w:adjustRightInd w:val="0"/>
        <w:spacing w:after="0" w:line="240" w:lineRule="auto"/>
        <w:jc w:val="both"/>
        <w:rPr>
          <w:rFonts w:ascii="Garamond" w:hAnsi="Garamond"/>
          <w:sz w:val="24"/>
          <w:szCs w:val="24"/>
        </w:rPr>
      </w:pPr>
    </w:p>
    <w:p w:rsidR="002B0AB3" w:rsidRDefault="002B0AB3" w:rsidP="00C26A15">
      <w:pPr>
        <w:autoSpaceDE w:val="0"/>
        <w:autoSpaceDN w:val="0"/>
        <w:adjustRightInd w:val="0"/>
        <w:spacing w:after="0" w:line="240" w:lineRule="auto"/>
        <w:jc w:val="both"/>
        <w:rPr>
          <w:rFonts w:ascii="Garamond" w:hAnsi="Garamond"/>
          <w:sz w:val="24"/>
          <w:szCs w:val="24"/>
        </w:rPr>
      </w:pPr>
    </w:p>
    <w:p w:rsidR="002B0AB3" w:rsidRDefault="002B0AB3" w:rsidP="00C26A15">
      <w:pPr>
        <w:autoSpaceDE w:val="0"/>
        <w:autoSpaceDN w:val="0"/>
        <w:adjustRightInd w:val="0"/>
        <w:spacing w:after="0" w:line="240" w:lineRule="auto"/>
        <w:jc w:val="both"/>
        <w:rPr>
          <w:rFonts w:ascii="Garamond" w:hAnsi="Garamond"/>
          <w:sz w:val="24"/>
          <w:szCs w:val="24"/>
        </w:rPr>
      </w:pPr>
    </w:p>
    <w:p w:rsidR="002B0AB3" w:rsidRDefault="002B0AB3" w:rsidP="00C26A15">
      <w:pPr>
        <w:autoSpaceDE w:val="0"/>
        <w:autoSpaceDN w:val="0"/>
        <w:adjustRightInd w:val="0"/>
        <w:spacing w:after="0" w:line="240" w:lineRule="auto"/>
        <w:jc w:val="both"/>
        <w:rPr>
          <w:rFonts w:ascii="Garamond" w:hAnsi="Garamond"/>
          <w:sz w:val="24"/>
          <w:szCs w:val="24"/>
        </w:rPr>
      </w:pPr>
    </w:p>
    <w:p w:rsidR="002B0AB3" w:rsidRDefault="002B0AB3" w:rsidP="00C26A15">
      <w:pPr>
        <w:autoSpaceDE w:val="0"/>
        <w:autoSpaceDN w:val="0"/>
        <w:adjustRightInd w:val="0"/>
        <w:spacing w:after="0" w:line="240" w:lineRule="auto"/>
        <w:jc w:val="both"/>
        <w:rPr>
          <w:rFonts w:ascii="Garamond" w:hAnsi="Garamond"/>
          <w:sz w:val="24"/>
          <w:szCs w:val="24"/>
        </w:rPr>
      </w:pPr>
    </w:p>
    <w:p w:rsidR="002B0AB3" w:rsidRDefault="002B0AB3" w:rsidP="00C26A15">
      <w:pPr>
        <w:autoSpaceDE w:val="0"/>
        <w:autoSpaceDN w:val="0"/>
        <w:adjustRightInd w:val="0"/>
        <w:spacing w:after="0" w:line="240" w:lineRule="auto"/>
        <w:jc w:val="both"/>
        <w:rPr>
          <w:rFonts w:ascii="Garamond" w:hAnsi="Garamond"/>
          <w:sz w:val="24"/>
          <w:szCs w:val="24"/>
        </w:rPr>
      </w:pPr>
    </w:p>
    <w:p w:rsidR="008046F4" w:rsidRPr="00075FD8" w:rsidRDefault="008046F4" w:rsidP="00C26A15">
      <w:pPr>
        <w:pStyle w:val="Caption"/>
        <w:spacing w:after="0"/>
        <w:rPr>
          <w:rFonts w:ascii="Garamond" w:hAnsi="Garamond"/>
          <w:sz w:val="22"/>
          <w:szCs w:val="22"/>
        </w:rPr>
      </w:pPr>
      <w:bookmarkStart w:id="59" w:name="_Toc486585950"/>
      <w:r w:rsidRPr="00075FD8">
        <w:rPr>
          <w:rFonts w:ascii="Garamond" w:hAnsi="Garamond"/>
          <w:sz w:val="22"/>
          <w:szCs w:val="22"/>
        </w:rPr>
        <w:t xml:space="preserve">Figure </w:t>
      </w:r>
      <w:r w:rsidR="00BF3BBC" w:rsidRPr="00075FD8">
        <w:rPr>
          <w:rFonts w:ascii="Garamond" w:hAnsi="Garamond"/>
          <w:sz w:val="22"/>
          <w:szCs w:val="22"/>
        </w:rPr>
        <w:fldChar w:fldCharType="begin"/>
      </w:r>
      <w:r w:rsidR="00075FD8" w:rsidRPr="00075FD8">
        <w:rPr>
          <w:rFonts w:ascii="Garamond" w:hAnsi="Garamond"/>
          <w:sz w:val="22"/>
          <w:szCs w:val="22"/>
        </w:rPr>
        <w:instrText xml:space="preserve"> SEQ Figure \* ARABIC </w:instrText>
      </w:r>
      <w:r w:rsidR="00BF3BBC" w:rsidRPr="00075FD8">
        <w:rPr>
          <w:rFonts w:ascii="Garamond" w:hAnsi="Garamond"/>
          <w:sz w:val="22"/>
          <w:szCs w:val="22"/>
        </w:rPr>
        <w:fldChar w:fldCharType="separate"/>
      </w:r>
      <w:r w:rsidR="006C24A4">
        <w:rPr>
          <w:rFonts w:ascii="Garamond" w:hAnsi="Garamond"/>
          <w:noProof/>
          <w:sz w:val="22"/>
          <w:szCs w:val="22"/>
        </w:rPr>
        <w:t>15</w:t>
      </w:r>
      <w:r w:rsidR="00BF3BBC" w:rsidRPr="00075FD8">
        <w:rPr>
          <w:rFonts w:ascii="Garamond" w:hAnsi="Garamond"/>
          <w:sz w:val="22"/>
          <w:szCs w:val="22"/>
        </w:rPr>
        <w:fldChar w:fldCharType="end"/>
      </w:r>
      <w:r w:rsidR="00075FD8" w:rsidRPr="00075FD8">
        <w:rPr>
          <w:rFonts w:ascii="Garamond" w:hAnsi="Garamond"/>
          <w:sz w:val="22"/>
          <w:szCs w:val="22"/>
        </w:rPr>
        <w:t>:</w:t>
      </w:r>
      <w:r w:rsidRPr="00075FD8">
        <w:rPr>
          <w:rFonts w:ascii="Garamond" w:hAnsi="Garamond"/>
          <w:sz w:val="22"/>
          <w:szCs w:val="22"/>
        </w:rPr>
        <w:t xml:space="preserve"> Composition of loanable fund from banks (In billion birr)</w:t>
      </w:r>
      <w:bookmarkEnd w:id="59"/>
    </w:p>
    <w:p w:rsidR="008046F4" w:rsidRDefault="008046F4" w:rsidP="00C26A15">
      <w:pPr>
        <w:autoSpaceDE w:val="0"/>
        <w:autoSpaceDN w:val="0"/>
        <w:adjustRightInd w:val="0"/>
        <w:spacing w:after="0" w:line="240" w:lineRule="auto"/>
        <w:jc w:val="both"/>
        <w:rPr>
          <w:rFonts w:ascii="Garamond" w:hAnsi="Garamond"/>
          <w:sz w:val="24"/>
          <w:szCs w:val="24"/>
        </w:rPr>
      </w:pPr>
      <w:r>
        <w:rPr>
          <w:noProof/>
        </w:rPr>
        <w:drawing>
          <wp:inline distT="0" distB="0" distL="0" distR="0">
            <wp:extent cx="6121400" cy="1720850"/>
            <wp:effectExtent l="0" t="0" r="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046F4" w:rsidRDefault="008046F4" w:rsidP="00C26A15">
      <w:pPr>
        <w:autoSpaceDE w:val="0"/>
        <w:autoSpaceDN w:val="0"/>
        <w:adjustRightInd w:val="0"/>
        <w:spacing w:after="0" w:line="240" w:lineRule="auto"/>
        <w:jc w:val="both"/>
        <w:rPr>
          <w:rFonts w:ascii="Garamond" w:hAnsi="Garamond"/>
        </w:rPr>
      </w:pPr>
      <w:r w:rsidRPr="00AC7854">
        <w:rPr>
          <w:rFonts w:ascii="Garamond" w:hAnsi="Garamond"/>
        </w:rPr>
        <w:t>Source: NBE, Development Bank o</w:t>
      </w:r>
      <w:r>
        <w:rPr>
          <w:rFonts w:ascii="Garamond" w:hAnsi="Garamond"/>
        </w:rPr>
        <w:t>f Ethiopia and Commercial Banks</w:t>
      </w:r>
    </w:p>
    <w:p w:rsidR="00984B7D" w:rsidRDefault="008046F4" w:rsidP="00984B7D">
      <w:pPr>
        <w:autoSpaceDE w:val="0"/>
        <w:autoSpaceDN w:val="0"/>
        <w:adjustRightInd w:val="0"/>
        <w:spacing w:after="0" w:line="240" w:lineRule="auto"/>
        <w:jc w:val="both"/>
        <w:rPr>
          <w:rFonts w:ascii="Garamond" w:hAnsi="Garamond"/>
          <w:sz w:val="24"/>
          <w:szCs w:val="24"/>
        </w:rPr>
      </w:pPr>
      <w:r w:rsidRPr="005300C3">
        <w:rPr>
          <w:rFonts w:ascii="Garamond" w:hAnsi="Garamond"/>
          <w:sz w:val="24"/>
          <w:szCs w:val="24"/>
        </w:rPr>
        <w:t>Pension fund and government treasury bills</w:t>
      </w:r>
      <w:r>
        <w:rPr>
          <w:rFonts w:ascii="Garamond" w:hAnsi="Garamond"/>
          <w:sz w:val="24"/>
          <w:szCs w:val="24"/>
        </w:rPr>
        <w:t xml:space="preserve"> (T-bills)</w:t>
      </w:r>
      <w:r w:rsidRPr="005300C3">
        <w:rPr>
          <w:rFonts w:ascii="Garamond" w:hAnsi="Garamond"/>
          <w:sz w:val="24"/>
          <w:szCs w:val="24"/>
        </w:rPr>
        <w:t xml:space="preserve"> are also other sources of finance in Ethiopia. </w:t>
      </w:r>
      <w:r>
        <w:rPr>
          <w:rFonts w:ascii="Garamond" w:hAnsi="Garamond"/>
          <w:sz w:val="24"/>
          <w:szCs w:val="24"/>
        </w:rPr>
        <w:t xml:space="preserve">In </w:t>
      </w:r>
      <w:r w:rsidRPr="000C2917">
        <w:rPr>
          <w:rFonts w:ascii="Garamond" w:hAnsi="Garamond"/>
          <w:sz w:val="24"/>
          <w:szCs w:val="24"/>
        </w:rPr>
        <w:t>2011</w:t>
      </w:r>
      <w:r>
        <w:rPr>
          <w:rFonts w:ascii="Garamond" w:hAnsi="Garamond"/>
          <w:sz w:val="24"/>
          <w:szCs w:val="24"/>
        </w:rPr>
        <w:t>,</w:t>
      </w:r>
      <w:r w:rsidRPr="000C2917">
        <w:rPr>
          <w:rFonts w:ascii="Garamond" w:hAnsi="Garamond"/>
          <w:sz w:val="24"/>
          <w:szCs w:val="24"/>
        </w:rPr>
        <w:t xml:space="preserve"> </w:t>
      </w:r>
      <w:r>
        <w:rPr>
          <w:rFonts w:ascii="Garamond" w:hAnsi="Garamond"/>
          <w:sz w:val="24"/>
          <w:szCs w:val="24"/>
        </w:rPr>
        <w:t xml:space="preserve">the </w:t>
      </w:r>
      <w:r w:rsidRPr="005300C3">
        <w:rPr>
          <w:rFonts w:ascii="Garamond" w:hAnsi="Garamond"/>
          <w:sz w:val="24"/>
          <w:szCs w:val="24"/>
        </w:rPr>
        <w:t>Government of Ethiopia introduced a proclamation to make pension contribution compulsory for employees in private enterprise</w:t>
      </w:r>
      <w:r>
        <w:rPr>
          <w:rFonts w:ascii="Garamond" w:hAnsi="Garamond"/>
          <w:sz w:val="24"/>
          <w:szCs w:val="24"/>
        </w:rPr>
        <w:t>s</w:t>
      </w:r>
      <w:r w:rsidRPr="005300C3">
        <w:rPr>
          <w:rFonts w:ascii="Garamond" w:hAnsi="Garamond"/>
          <w:sz w:val="24"/>
          <w:szCs w:val="24"/>
        </w:rPr>
        <w:t xml:space="preserve">. Pension fund has increased from ETB 2.1 billion in 2010/11 to ETB 13.9 billion in 2015/16, grew by about 36.4 percent per year. </w:t>
      </w:r>
      <w:r>
        <w:rPr>
          <w:rFonts w:ascii="Garamond" w:hAnsi="Garamond"/>
          <w:sz w:val="24"/>
          <w:szCs w:val="24"/>
        </w:rPr>
        <w:t xml:space="preserve">Likewise, T-bills have increasingly become an important source of finance; increased from ETB 5.8 billion in 2011/12 to ETB 12.5 billion in 2015/16, representing a growth rate of 21.2 percent per year. </w:t>
      </w:r>
    </w:p>
    <w:p w:rsidR="008046F4" w:rsidRPr="00075FD8" w:rsidRDefault="008046F4" w:rsidP="00984B7D">
      <w:pPr>
        <w:autoSpaceDE w:val="0"/>
        <w:autoSpaceDN w:val="0"/>
        <w:adjustRightInd w:val="0"/>
        <w:spacing w:after="0" w:line="240" w:lineRule="auto"/>
        <w:jc w:val="both"/>
        <w:rPr>
          <w:rFonts w:ascii="Garamond" w:hAnsi="Garamond"/>
        </w:rPr>
      </w:pPr>
      <w:bookmarkStart w:id="60" w:name="_Toc486585951"/>
      <w:r w:rsidRPr="00075FD8">
        <w:rPr>
          <w:rFonts w:ascii="Garamond" w:hAnsi="Garamond"/>
        </w:rPr>
        <w:t xml:space="preserve">Figure </w:t>
      </w:r>
      <w:r w:rsidR="00BF3BBC" w:rsidRPr="00075FD8">
        <w:rPr>
          <w:rFonts w:ascii="Garamond" w:hAnsi="Garamond"/>
        </w:rPr>
        <w:fldChar w:fldCharType="begin"/>
      </w:r>
      <w:r w:rsidR="00075FD8" w:rsidRPr="00075FD8">
        <w:rPr>
          <w:rFonts w:ascii="Garamond" w:hAnsi="Garamond"/>
        </w:rPr>
        <w:instrText xml:space="preserve"> SEQ Figure \* ARABIC </w:instrText>
      </w:r>
      <w:r w:rsidR="00BF3BBC" w:rsidRPr="00075FD8">
        <w:rPr>
          <w:rFonts w:ascii="Garamond" w:hAnsi="Garamond"/>
        </w:rPr>
        <w:fldChar w:fldCharType="separate"/>
      </w:r>
      <w:r w:rsidR="006C24A4">
        <w:rPr>
          <w:rFonts w:ascii="Garamond" w:hAnsi="Garamond"/>
          <w:noProof/>
        </w:rPr>
        <w:t>16</w:t>
      </w:r>
      <w:r w:rsidR="00BF3BBC" w:rsidRPr="00075FD8">
        <w:rPr>
          <w:rFonts w:ascii="Garamond" w:hAnsi="Garamond"/>
        </w:rPr>
        <w:fldChar w:fldCharType="end"/>
      </w:r>
      <w:r w:rsidRPr="00075FD8">
        <w:rPr>
          <w:rFonts w:ascii="Garamond" w:hAnsi="Garamond"/>
        </w:rPr>
        <w:t>: Pension fund and Treasury bills (In million birr)</w:t>
      </w:r>
      <w:bookmarkEnd w:id="60"/>
    </w:p>
    <w:p w:rsidR="008046F4" w:rsidRPr="00AC7854" w:rsidRDefault="008046F4" w:rsidP="00C26A15">
      <w:pPr>
        <w:autoSpaceDE w:val="0"/>
        <w:autoSpaceDN w:val="0"/>
        <w:adjustRightInd w:val="0"/>
        <w:spacing w:after="0" w:line="240" w:lineRule="auto"/>
        <w:jc w:val="both"/>
        <w:rPr>
          <w:rFonts w:ascii="Garamond" w:hAnsi="Garamond"/>
        </w:rPr>
      </w:pPr>
      <w:r w:rsidRPr="00AC7854">
        <w:rPr>
          <w:rFonts w:ascii="Garamond" w:hAnsi="Garamond"/>
        </w:rPr>
        <w:t xml:space="preserve"> </w:t>
      </w:r>
      <w:r>
        <w:rPr>
          <w:noProof/>
        </w:rPr>
        <w:drawing>
          <wp:inline distT="0" distB="0" distL="0" distR="0">
            <wp:extent cx="5581650" cy="1778000"/>
            <wp:effectExtent l="0" t="0" r="0" b="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046F4" w:rsidRDefault="008046F4"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Source: NBE </w:t>
      </w:r>
    </w:p>
    <w:p w:rsidR="008046F4" w:rsidRDefault="008046F4" w:rsidP="00C26A15">
      <w:pPr>
        <w:autoSpaceDE w:val="0"/>
        <w:autoSpaceDN w:val="0"/>
        <w:adjustRightInd w:val="0"/>
        <w:spacing w:after="0" w:line="240" w:lineRule="auto"/>
        <w:jc w:val="both"/>
        <w:rPr>
          <w:rFonts w:ascii="Garamond" w:hAnsi="Garamond"/>
          <w:sz w:val="24"/>
          <w:szCs w:val="24"/>
        </w:rPr>
      </w:pPr>
    </w:p>
    <w:p w:rsidR="00CE0931" w:rsidRDefault="008046F4" w:rsidP="00CE0931">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Note that loanable fund, pension fund and T-bills serve as sources of finance for the government and private sector. </w:t>
      </w:r>
      <w:r w:rsidR="001164EB">
        <w:rPr>
          <w:rFonts w:ascii="Garamond" w:hAnsi="Garamond"/>
          <w:sz w:val="24"/>
          <w:szCs w:val="24"/>
        </w:rPr>
        <w:t xml:space="preserve">A look at government statistics reveals two types of domestic borrowing: bank and non-bank. In 2015/16, domestic bank borrowing by the government accounted for 1.5 percent of GDP and other sources of domestic finance for the government includes privatization and other sources, but these are of small magnitude. </w:t>
      </w:r>
      <w:r w:rsidR="00CE0931">
        <w:rPr>
          <w:rFonts w:ascii="Garamond" w:hAnsi="Garamond"/>
          <w:sz w:val="24"/>
          <w:szCs w:val="24"/>
        </w:rPr>
        <w:t xml:space="preserve">A review of credits by institutions indicates that </w:t>
      </w:r>
      <w:r w:rsidR="0042174A">
        <w:rPr>
          <w:rFonts w:ascii="Garamond" w:hAnsi="Garamond"/>
          <w:sz w:val="24"/>
          <w:szCs w:val="24"/>
        </w:rPr>
        <w:t xml:space="preserve">the </w:t>
      </w:r>
      <w:r w:rsidR="00CE0931">
        <w:rPr>
          <w:rFonts w:ascii="Garamond" w:hAnsi="Garamond"/>
          <w:sz w:val="24"/>
          <w:szCs w:val="24"/>
        </w:rPr>
        <w:t xml:space="preserve">share of </w:t>
      </w:r>
      <w:r w:rsidR="0042174A">
        <w:rPr>
          <w:rFonts w:ascii="Garamond" w:hAnsi="Garamond"/>
          <w:sz w:val="24"/>
          <w:szCs w:val="24"/>
        </w:rPr>
        <w:t xml:space="preserve">public </w:t>
      </w:r>
      <w:r w:rsidR="00CE0931">
        <w:rPr>
          <w:rFonts w:ascii="Garamond" w:hAnsi="Garamond"/>
          <w:sz w:val="24"/>
          <w:szCs w:val="24"/>
        </w:rPr>
        <w:t>enterprises</w:t>
      </w:r>
      <w:r w:rsidR="0042174A">
        <w:rPr>
          <w:rFonts w:ascii="Garamond" w:hAnsi="Garamond"/>
          <w:sz w:val="24"/>
          <w:szCs w:val="24"/>
        </w:rPr>
        <w:t xml:space="preserve"> in total credit increased, while that of private sector and central government has shown a declining trend between 2009/10 and 2014/15</w:t>
      </w:r>
      <w:r w:rsidR="00CE0931">
        <w:rPr>
          <w:rFonts w:ascii="MyriadPro-Regular" w:eastAsiaTheme="minorHAnsi" w:hAnsi="MyriadPro-Regular" w:cs="MyriadPro-Regular"/>
          <w:sz w:val="20"/>
          <w:szCs w:val="20"/>
        </w:rPr>
        <w:t xml:space="preserve">. </w:t>
      </w:r>
    </w:p>
    <w:p w:rsidR="00EE2B79" w:rsidRDefault="008046F4"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Given that government saving is inadequate to finance development interventions, there is a need to </w:t>
      </w:r>
      <w:r w:rsidRPr="00A8376B">
        <w:rPr>
          <w:rFonts w:ascii="Garamond" w:hAnsi="Garamond"/>
          <w:sz w:val="24"/>
          <w:szCs w:val="24"/>
        </w:rPr>
        <w:t>raise government saving</w:t>
      </w:r>
      <w:r>
        <w:rPr>
          <w:rFonts w:ascii="Garamond" w:hAnsi="Garamond"/>
          <w:sz w:val="24"/>
          <w:szCs w:val="24"/>
        </w:rPr>
        <w:t xml:space="preserve"> through </w:t>
      </w:r>
      <w:r w:rsidRPr="00A8376B">
        <w:rPr>
          <w:rFonts w:ascii="Garamond" w:hAnsi="Garamond"/>
          <w:sz w:val="24"/>
          <w:szCs w:val="24"/>
        </w:rPr>
        <w:t>effective administration of the tax policies to increase tax revenue</w:t>
      </w:r>
      <w:r>
        <w:rPr>
          <w:rFonts w:ascii="Garamond" w:hAnsi="Garamond"/>
          <w:sz w:val="24"/>
          <w:szCs w:val="24"/>
        </w:rPr>
        <w:t>,</w:t>
      </w:r>
      <w:r w:rsidRPr="00A8376B">
        <w:rPr>
          <w:rFonts w:ascii="Garamond" w:hAnsi="Garamond"/>
          <w:sz w:val="24"/>
          <w:szCs w:val="24"/>
        </w:rPr>
        <w:t xml:space="preserve"> and prioritiz</w:t>
      </w:r>
      <w:r>
        <w:rPr>
          <w:rFonts w:ascii="Garamond" w:hAnsi="Garamond"/>
          <w:sz w:val="24"/>
          <w:szCs w:val="24"/>
        </w:rPr>
        <w:t>e</w:t>
      </w:r>
      <w:r w:rsidRPr="00A8376B">
        <w:rPr>
          <w:rFonts w:ascii="Garamond" w:hAnsi="Garamond"/>
          <w:sz w:val="24"/>
          <w:szCs w:val="24"/>
        </w:rPr>
        <w:t xml:space="preserve"> government expenditure to capital investment</w:t>
      </w:r>
      <w:r>
        <w:rPr>
          <w:rFonts w:ascii="Garamond" w:hAnsi="Garamond"/>
          <w:sz w:val="24"/>
          <w:szCs w:val="24"/>
        </w:rPr>
        <w:t xml:space="preserve">, </w:t>
      </w:r>
      <w:r w:rsidRPr="00885C47">
        <w:rPr>
          <w:rFonts w:ascii="Garamond" w:hAnsi="Garamond"/>
          <w:sz w:val="24"/>
          <w:szCs w:val="24"/>
        </w:rPr>
        <w:t>efficient and effective use of budget</w:t>
      </w:r>
      <w:r>
        <w:rPr>
          <w:rFonts w:ascii="Garamond" w:hAnsi="Garamond"/>
          <w:sz w:val="24"/>
          <w:szCs w:val="24"/>
        </w:rPr>
        <w:t>,</w:t>
      </w:r>
      <w:r w:rsidRPr="00885C47">
        <w:rPr>
          <w:rFonts w:ascii="Garamond" w:hAnsi="Garamond"/>
          <w:sz w:val="24"/>
          <w:szCs w:val="24"/>
        </w:rPr>
        <w:t xml:space="preserve"> </w:t>
      </w:r>
      <w:r>
        <w:rPr>
          <w:rFonts w:ascii="Garamond" w:hAnsi="Garamond"/>
          <w:sz w:val="24"/>
          <w:szCs w:val="24"/>
        </w:rPr>
        <w:t xml:space="preserve">focus on </w:t>
      </w:r>
      <w:r w:rsidRPr="001A2F09">
        <w:rPr>
          <w:rFonts w:ascii="Garamond" w:hAnsi="Garamond"/>
          <w:sz w:val="24"/>
          <w:szCs w:val="24"/>
        </w:rPr>
        <w:t>sectors that accelerate capital accumulation, economic growth</w:t>
      </w:r>
      <w:r w:rsidRPr="00885C47">
        <w:rPr>
          <w:rFonts w:ascii="Garamond" w:hAnsi="Garamond"/>
          <w:sz w:val="24"/>
          <w:szCs w:val="24"/>
        </w:rPr>
        <w:t xml:space="preserve"> </w:t>
      </w:r>
      <w:r w:rsidRPr="001A2F09">
        <w:rPr>
          <w:rFonts w:ascii="Garamond" w:hAnsi="Garamond"/>
          <w:sz w:val="24"/>
          <w:szCs w:val="24"/>
        </w:rPr>
        <w:t>and poverty reduction</w:t>
      </w:r>
      <w:r>
        <w:rPr>
          <w:rFonts w:ascii="Garamond" w:hAnsi="Garamond"/>
          <w:sz w:val="24"/>
          <w:szCs w:val="24"/>
        </w:rPr>
        <w:t>,</w:t>
      </w:r>
      <w:r w:rsidRPr="00885C47">
        <w:rPr>
          <w:rFonts w:ascii="Garamond" w:hAnsi="Garamond"/>
          <w:sz w:val="24"/>
          <w:szCs w:val="24"/>
        </w:rPr>
        <w:t xml:space="preserve"> and </w:t>
      </w:r>
      <w:r w:rsidRPr="001A2F09">
        <w:rPr>
          <w:rFonts w:ascii="Garamond" w:hAnsi="Garamond"/>
          <w:sz w:val="24"/>
          <w:szCs w:val="24"/>
        </w:rPr>
        <w:t>reducing wastage and improving transparency on expenditure</w:t>
      </w:r>
      <w:r>
        <w:rPr>
          <w:rFonts w:ascii="Garamond" w:hAnsi="Garamond"/>
          <w:sz w:val="24"/>
          <w:szCs w:val="24"/>
        </w:rPr>
        <w:t>.</w:t>
      </w:r>
      <w:r w:rsidRPr="001A2F09">
        <w:rPr>
          <w:rFonts w:ascii="Garamond" w:hAnsi="Garamond"/>
          <w:sz w:val="24"/>
          <w:szCs w:val="24"/>
        </w:rPr>
        <w:t xml:space="preserve"> </w:t>
      </w:r>
    </w:p>
    <w:p w:rsidR="00EE2B79" w:rsidRDefault="00EE2B79" w:rsidP="00C26A15">
      <w:pPr>
        <w:autoSpaceDE w:val="0"/>
        <w:autoSpaceDN w:val="0"/>
        <w:adjustRightInd w:val="0"/>
        <w:spacing w:after="0" w:line="240" w:lineRule="auto"/>
        <w:jc w:val="both"/>
        <w:rPr>
          <w:rFonts w:ascii="Garamond" w:hAnsi="Garamond"/>
          <w:sz w:val="24"/>
          <w:szCs w:val="24"/>
        </w:rPr>
      </w:pPr>
    </w:p>
    <w:p w:rsidR="00EE2B79" w:rsidRDefault="00EE2B79" w:rsidP="00C26A15">
      <w:pPr>
        <w:autoSpaceDE w:val="0"/>
        <w:autoSpaceDN w:val="0"/>
        <w:adjustRightInd w:val="0"/>
        <w:spacing w:after="0" w:line="240" w:lineRule="auto"/>
        <w:jc w:val="both"/>
        <w:rPr>
          <w:rFonts w:ascii="Garamond" w:hAnsi="Garamond"/>
          <w:sz w:val="24"/>
          <w:szCs w:val="24"/>
        </w:rPr>
      </w:pPr>
    </w:p>
    <w:p w:rsidR="00EE2B79" w:rsidRDefault="00EE2B79" w:rsidP="00C26A15">
      <w:pPr>
        <w:autoSpaceDE w:val="0"/>
        <w:autoSpaceDN w:val="0"/>
        <w:adjustRightInd w:val="0"/>
        <w:spacing w:after="0" w:line="240" w:lineRule="auto"/>
        <w:jc w:val="both"/>
        <w:rPr>
          <w:rFonts w:ascii="Garamond" w:hAnsi="Garamond"/>
          <w:sz w:val="24"/>
          <w:szCs w:val="24"/>
        </w:rPr>
      </w:pPr>
    </w:p>
    <w:p w:rsidR="00EE2B79" w:rsidRDefault="00EE2B79" w:rsidP="00C26A15">
      <w:pPr>
        <w:autoSpaceDE w:val="0"/>
        <w:autoSpaceDN w:val="0"/>
        <w:adjustRightInd w:val="0"/>
        <w:spacing w:after="0" w:line="240" w:lineRule="auto"/>
        <w:jc w:val="both"/>
        <w:rPr>
          <w:rFonts w:ascii="Garamond" w:hAnsi="Garamond"/>
          <w:sz w:val="24"/>
          <w:szCs w:val="24"/>
        </w:rPr>
      </w:pPr>
    </w:p>
    <w:p w:rsidR="008046F4" w:rsidRDefault="00EE2B79" w:rsidP="00EE2B79">
      <w:pPr>
        <w:pStyle w:val="Caption"/>
        <w:spacing w:after="0"/>
        <w:rPr>
          <w:rFonts w:ascii="Garamond" w:hAnsi="Garamond"/>
          <w:sz w:val="24"/>
          <w:szCs w:val="24"/>
        </w:rPr>
      </w:pPr>
      <w:bookmarkStart w:id="61" w:name="_Toc486585952"/>
      <w:r>
        <w:rPr>
          <w:rFonts w:ascii="Garamond" w:hAnsi="Garamond"/>
          <w:sz w:val="24"/>
          <w:szCs w:val="24"/>
        </w:rPr>
        <w:t>Figure</w:t>
      </w:r>
      <w:r>
        <w:t xml:space="preserve"> </w:t>
      </w:r>
      <w:r w:rsidR="00BF3BBC">
        <w:fldChar w:fldCharType="begin"/>
      </w:r>
      <w:r w:rsidR="007F2200">
        <w:instrText xml:space="preserve"> SEQ Figure \* ARABIC </w:instrText>
      </w:r>
      <w:r w:rsidR="00BF3BBC">
        <w:fldChar w:fldCharType="separate"/>
      </w:r>
      <w:r w:rsidR="006C24A4">
        <w:rPr>
          <w:noProof/>
        </w:rPr>
        <w:t>17</w:t>
      </w:r>
      <w:r w:rsidR="00BF3BBC">
        <w:rPr>
          <w:noProof/>
        </w:rPr>
        <w:fldChar w:fldCharType="end"/>
      </w:r>
      <w:r>
        <w:rPr>
          <w:rFonts w:ascii="Garamond" w:hAnsi="Garamond"/>
          <w:sz w:val="24"/>
          <w:szCs w:val="24"/>
        </w:rPr>
        <w:t>: Credit by borrower (Percent of total credit)</w:t>
      </w:r>
      <w:bookmarkEnd w:id="61"/>
    </w:p>
    <w:p w:rsidR="00134C69" w:rsidRDefault="00134C69" w:rsidP="00C26A15">
      <w:pPr>
        <w:autoSpaceDE w:val="0"/>
        <w:autoSpaceDN w:val="0"/>
        <w:adjustRightInd w:val="0"/>
        <w:spacing w:after="0" w:line="240" w:lineRule="auto"/>
        <w:jc w:val="both"/>
        <w:rPr>
          <w:rFonts w:ascii="Garamond" w:hAnsi="Garamond"/>
          <w:sz w:val="24"/>
          <w:szCs w:val="24"/>
        </w:rPr>
      </w:pPr>
      <w:r w:rsidRPr="00134C69">
        <w:rPr>
          <w:rFonts w:ascii="Garamond" w:hAnsi="Garamond"/>
          <w:noProof/>
          <w:sz w:val="24"/>
          <w:szCs w:val="24"/>
        </w:rPr>
        <w:drawing>
          <wp:inline distT="0" distB="0" distL="0" distR="0">
            <wp:extent cx="5943600" cy="1876370"/>
            <wp:effectExtent l="0" t="0" r="0" b="1016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9248D" w:rsidRDefault="00EE2B79"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Source: NBE</w:t>
      </w:r>
    </w:p>
    <w:p w:rsidR="00EE2B79" w:rsidRDefault="00EE2B79" w:rsidP="00C26A15">
      <w:pPr>
        <w:autoSpaceDE w:val="0"/>
        <w:autoSpaceDN w:val="0"/>
        <w:adjustRightInd w:val="0"/>
        <w:spacing w:after="0" w:line="240" w:lineRule="auto"/>
        <w:jc w:val="both"/>
        <w:rPr>
          <w:rFonts w:ascii="Garamond" w:hAnsi="Garamond"/>
          <w:sz w:val="24"/>
          <w:szCs w:val="24"/>
        </w:rPr>
      </w:pPr>
    </w:p>
    <w:p w:rsidR="008046F4" w:rsidRPr="00E9248D" w:rsidRDefault="00826A91" w:rsidP="00E9248D">
      <w:pPr>
        <w:pStyle w:val="Heading4"/>
        <w:rPr>
          <w:rFonts w:ascii="Garamond" w:hAnsi="Garamond"/>
          <w:b/>
          <w:i w:val="0"/>
          <w:sz w:val="24"/>
          <w:szCs w:val="24"/>
        </w:rPr>
      </w:pPr>
      <w:r>
        <w:rPr>
          <w:rFonts w:ascii="Garamond" w:hAnsi="Garamond"/>
          <w:b/>
          <w:i w:val="0"/>
          <w:sz w:val="24"/>
          <w:szCs w:val="24"/>
        </w:rPr>
        <w:t xml:space="preserve">(ii) </w:t>
      </w:r>
      <w:r w:rsidR="008046F4" w:rsidRPr="00E9248D">
        <w:rPr>
          <w:rFonts w:ascii="Garamond" w:hAnsi="Garamond"/>
          <w:b/>
          <w:i w:val="0"/>
          <w:sz w:val="24"/>
          <w:szCs w:val="24"/>
        </w:rPr>
        <w:t>Supply of finance outside banks</w:t>
      </w:r>
    </w:p>
    <w:p w:rsidR="008046F4" w:rsidRDefault="008046F4" w:rsidP="00C26A15">
      <w:pPr>
        <w:autoSpaceDE w:val="0"/>
        <w:autoSpaceDN w:val="0"/>
        <w:adjustRightInd w:val="0"/>
        <w:spacing w:after="0" w:line="240" w:lineRule="auto"/>
        <w:jc w:val="both"/>
        <w:rPr>
          <w:rFonts w:ascii="Garamond" w:hAnsi="Garamond"/>
          <w:sz w:val="24"/>
          <w:szCs w:val="24"/>
        </w:rPr>
      </w:pPr>
    </w:p>
    <w:p w:rsidR="00984B7D" w:rsidRDefault="008046F4" w:rsidP="00E9248D">
      <w:pPr>
        <w:autoSpaceDE w:val="0"/>
        <w:autoSpaceDN w:val="0"/>
        <w:adjustRightInd w:val="0"/>
        <w:spacing w:after="0" w:line="240" w:lineRule="auto"/>
        <w:jc w:val="both"/>
      </w:pPr>
      <w:r w:rsidRPr="006B0E4E">
        <w:rPr>
          <w:rFonts w:ascii="Garamond" w:hAnsi="Garamond"/>
          <w:sz w:val="24"/>
          <w:szCs w:val="24"/>
        </w:rPr>
        <w:t xml:space="preserve">Although the financial sector has shown </w:t>
      </w:r>
      <w:r>
        <w:rPr>
          <w:rFonts w:ascii="Garamond" w:hAnsi="Garamond"/>
          <w:sz w:val="24"/>
          <w:szCs w:val="24"/>
        </w:rPr>
        <w:t>rapid expansion</w:t>
      </w:r>
      <w:r w:rsidRPr="006B0E4E">
        <w:rPr>
          <w:rFonts w:ascii="Garamond" w:hAnsi="Garamond"/>
          <w:sz w:val="24"/>
          <w:szCs w:val="24"/>
        </w:rPr>
        <w:t xml:space="preserve">, </w:t>
      </w:r>
      <w:r>
        <w:rPr>
          <w:rFonts w:ascii="Garamond" w:hAnsi="Garamond"/>
          <w:sz w:val="24"/>
          <w:szCs w:val="24"/>
        </w:rPr>
        <w:t>the coverage is i</w:t>
      </w:r>
      <w:r w:rsidRPr="006B0E4E">
        <w:rPr>
          <w:rFonts w:ascii="Garamond" w:hAnsi="Garamond"/>
          <w:sz w:val="24"/>
          <w:szCs w:val="24"/>
        </w:rPr>
        <w:t>nadequate compared to the si</w:t>
      </w:r>
      <w:r>
        <w:rPr>
          <w:rFonts w:ascii="Garamond" w:hAnsi="Garamond"/>
          <w:sz w:val="24"/>
          <w:szCs w:val="24"/>
        </w:rPr>
        <w:t>ze of the country’s population. G</w:t>
      </w:r>
      <w:r w:rsidRPr="006B0E4E">
        <w:rPr>
          <w:rFonts w:ascii="Garamond" w:hAnsi="Garamond"/>
          <w:sz w:val="24"/>
          <w:szCs w:val="24"/>
        </w:rPr>
        <w:t xml:space="preserve">iven that commercial banks and insurance companies are concentrated in cities and towns, the majority of rural population still have limited access to financial services. </w:t>
      </w:r>
      <w:r>
        <w:rPr>
          <w:rFonts w:ascii="Garamond" w:hAnsi="Garamond"/>
          <w:sz w:val="24"/>
          <w:szCs w:val="24"/>
        </w:rPr>
        <w:t>T</w:t>
      </w:r>
      <w:r w:rsidRPr="0037784E">
        <w:rPr>
          <w:rFonts w:ascii="Garamond" w:hAnsi="Garamond"/>
          <w:sz w:val="24"/>
          <w:szCs w:val="24"/>
        </w:rPr>
        <w:t xml:space="preserve">here </w:t>
      </w:r>
      <w:r w:rsidR="0032037D">
        <w:rPr>
          <w:rFonts w:ascii="Garamond" w:hAnsi="Garamond"/>
          <w:sz w:val="24"/>
          <w:szCs w:val="24"/>
        </w:rPr>
        <w:t xml:space="preserve">is </w:t>
      </w:r>
      <w:r w:rsidRPr="0037784E">
        <w:rPr>
          <w:rFonts w:ascii="Garamond" w:hAnsi="Garamond"/>
          <w:sz w:val="24"/>
          <w:szCs w:val="24"/>
        </w:rPr>
        <w:t xml:space="preserve">huge finance outside the formal banking sector. </w:t>
      </w:r>
      <w:r>
        <w:rPr>
          <w:rFonts w:ascii="Garamond" w:hAnsi="Garamond"/>
          <w:sz w:val="24"/>
          <w:szCs w:val="24"/>
        </w:rPr>
        <w:t>Recent statistics from the National Bank of Ethiopia indicate a large magnitude of c</w:t>
      </w:r>
      <w:r w:rsidRPr="0037784E">
        <w:rPr>
          <w:rFonts w:ascii="Garamond" w:hAnsi="Garamond"/>
          <w:sz w:val="24"/>
          <w:szCs w:val="24"/>
        </w:rPr>
        <w:t>urrency outside banks</w:t>
      </w:r>
      <w:r>
        <w:rPr>
          <w:rFonts w:ascii="Garamond" w:hAnsi="Garamond"/>
          <w:sz w:val="24"/>
          <w:szCs w:val="24"/>
        </w:rPr>
        <w:t xml:space="preserve">. In 2015/16, currency outside banks was about ETB 66.7 billion, </w:t>
      </w:r>
      <w:r w:rsidR="0032037D">
        <w:rPr>
          <w:rFonts w:ascii="Garamond" w:hAnsi="Garamond"/>
          <w:sz w:val="24"/>
          <w:szCs w:val="24"/>
        </w:rPr>
        <w:t xml:space="preserve">equivalent to </w:t>
      </w:r>
      <w:r>
        <w:rPr>
          <w:rFonts w:ascii="Garamond" w:hAnsi="Garamond"/>
          <w:sz w:val="24"/>
          <w:szCs w:val="24"/>
        </w:rPr>
        <w:t>40 percent of total loanable fund available in banks. Between 2010/11 and 2015/16, currency outside banks grew on average by 14.5 percent, indicating a large potential to tap this finance for financing development activities. This could be done</w:t>
      </w:r>
      <w:r w:rsidRPr="000058FF">
        <w:rPr>
          <w:rFonts w:ascii="Garamond" w:hAnsi="Garamond"/>
          <w:sz w:val="24"/>
          <w:szCs w:val="24"/>
        </w:rPr>
        <w:t xml:space="preserve"> </w:t>
      </w:r>
      <w:r>
        <w:rPr>
          <w:rFonts w:ascii="Garamond" w:hAnsi="Garamond"/>
          <w:sz w:val="24"/>
          <w:szCs w:val="24"/>
        </w:rPr>
        <w:t>through, among others, expanding bank branches</w:t>
      </w:r>
      <w:r w:rsidR="00206D9B">
        <w:rPr>
          <w:rFonts w:ascii="Garamond" w:hAnsi="Garamond"/>
          <w:sz w:val="24"/>
          <w:szCs w:val="24"/>
        </w:rPr>
        <w:t xml:space="preserve">, introducing capital markets, and </w:t>
      </w:r>
      <w:r>
        <w:rPr>
          <w:rFonts w:ascii="Garamond" w:hAnsi="Garamond"/>
          <w:sz w:val="24"/>
          <w:szCs w:val="24"/>
        </w:rPr>
        <w:t xml:space="preserve">financial literacy. </w:t>
      </w:r>
    </w:p>
    <w:p w:rsidR="008046F4" w:rsidRPr="00075FD8" w:rsidRDefault="008046F4" w:rsidP="00C26A15">
      <w:pPr>
        <w:pStyle w:val="Caption"/>
        <w:spacing w:after="0"/>
        <w:rPr>
          <w:rFonts w:ascii="Garamond" w:hAnsi="Garamond"/>
          <w:sz w:val="22"/>
          <w:szCs w:val="22"/>
        </w:rPr>
      </w:pPr>
      <w:bookmarkStart w:id="62" w:name="_Toc486585953"/>
      <w:r w:rsidRPr="00075FD8">
        <w:rPr>
          <w:rFonts w:ascii="Garamond" w:hAnsi="Garamond"/>
          <w:sz w:val="22"/>
          <w:szCs w:val="22"/>
        </w:rPr>
        <w:t xml:space="preserve">Figure </w:t>
      </w:r>
      <w:r w:rsidR="00BF3BBC" w:rsidRPr="00075FD8">
        <w:rPr>
          <w:rFonts w:ascii="Garamond" w:hAnsi="Garamond"/>
          <w:sz w:val="22"/>
          <w:szCs w:val="22"/>
        </w:rPr>
        <w:fldChar w:fldCharType="begin"/>
      </w:r>
      <w:r w:rsidR="00075FD8" w:rsidRPr="00075FD8">
        <w:rPr>
          <w:rFonts w:ascii="Garamond" w:hAnsi="Garamond"/>
          <w:sz w:val="22"/>
          <w:szCs w:val="22"/>
        </w:rPr>
        <w:instrText xml:space="preserve"> SEQ Figure \* ARABIC </w:instrText>
      </w:r>
      <w:r w:rsidR="00BF3BBC" w:rsidRPr="00075FD8">
        <w:rPr>
          <w:rFonts w:ascii="Garamond" w:hAnsi="Garamond"/>
          <w:sz w:val="22"/>
          <w:szCs w:val="22"/>
        </w:rPr>
        <w:fldChar w:fldCharType="separate"/>
      </w:r>
      <w:r w:rsidR="006C24A4">
        <w:rPr>
          <w:rFonts w:ascii="Garamond" w:hAnsi="Garamond"/>
          <w:noProof/>
          <w:sz w:val="22"/>
          <w:szCs w:val="22"/>
        </w:rPr>
        <w:t>18</w:t>
      </w:r>
      <w:r w:rsidR="00BF3BBC" w:rsidRPr="00075FD8">
        <w:rPr>
          <w:rFonts w:ascii="Garamond" w:hAnsi="Garamond"/>
          <w:sz w:val="22"/>
          <w:szCs w:val="22"/>
        </w:rPr>
        <w:fldChar w:fldCharType="end"/>
      </w:r>
      <w:r w:rsidRPr="00075FD8">
        <w:rPr>
          <w:rFonts w:ascii="Garamond" w:hAnsi="Garamond"/>
          <w:sz w:val="22"/>
          <w:szCs w:val="22"/>
        </w:rPr>
        <w:t xml:space="preserve">: Currency outside banks </w:t>
      </w:r>
      <w:r w:rsidR="007850C1">
        <w:rPr>
          <w:rFonts w:ascii="Garamond" w:hAnsi="Garamond"/>
          <w:sz w:val="22"/>
          <w:szCs w:val="22"/>
        </w:rPr>
        <w:t>(In billion ETB)</w:t>
      </w:r>
      <w:bookmarkEnd w:id="62"/>
    </w:p>
    <w:p w:rsidR="008046F4" w:rsidRPr="00BE197C" w:rsidRDefault="008046F4" w:rsidP="00C26A15">
      <w:pPr>
        <w:autoSpaceDE w:val="0"/>
        <w:autoSpaceDN w:val="0"/>
        <w:adjustRightInd w:val="0"/>
        <w:spacing w:after="0" w:line="240" w:lineRule="auto"/>
        <w:jc w:val="both"/>
        <w:rPr>
          <w:rFonts w:ascii="Garamond" w:hAnsi="Garamond"/>
          <w:b/>
          <w:sz w:val="24"/>
          <w:szCs w:val="24"/>
        </w:rPr>
      </w:pPr>
      <w:r>
        <w:rPr>
          <w:noProof/>
        </w:rPr>
        <w:drawing>
          <wp:inline distT="0" distB="0" distL="0" distR="0">
            <wp:extent cx="5638800" cy="1834243"/>
            <wp:effectExtent l="0" t="0" r="0" b="1397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046F4" w:rsidRDefault="008046F4"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Source: NBE</w:t>
      </w:r>
    </w:p>
    <w:p w:rsidR="008046F4" w:rsidRDefault="008046F4" w:rsidP="00C26A15">
      <w:pPr>
        <w:autoSpaceDE w:val="0"/>
        <w:autoSpaceDN w:val="0"/>
        <w:adjustRightInd w:val="0"/>
        <w:spacing w:after="0" w:line="240" w:lineRule="auto"/>
        <w:jc w:val="both"/>
        <w:rPr>
          <w:rFonts w:ascii="Garamond" w:hAnsi="Garamond"/>
          <w:sz w:val="24"/>
          <w:szCs w:val="24"/>
        </w:rPr>
      </w:pPr>
    </w:p>
    <w:p w:rsidR="008046F4" w:rsidRDefault="008046F4"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In order to mobilize this finance outside the formal banking sector, the main intervention areas</w:t>
      </w:r>
      <w:r w:rsidR="00826A91">
        <w:rPr>
          <w:rFonts w:ascii="Garamond" w:hAnsi="Garamond"/>
          <w:sz w:val="24"/>
          <w:szCs w:val="24"/>
        </w:rPr>
        <w:t>,</w:t>
      </w:r>
      <w:r w:rsidR="00826A91" w:rsidRPr="00826A91">
        <w:rPr>
          <w:rFonts w:ascii="Garamond" w:hAnsi="Garamond"/>
          <w:sz w:val="24"/>
          <w:szCs w:val="24"/>
        </w:rPr>
        <w:t xml:space="preserve"> </w:t>
      </w:r>
      <w:r w:rsidR="00826A91">
        <w:rPr>
          <w:rFonts w:ascii="Garamond" w:hAnsi="Garamond"/>
          <w:sz w:val="24"/>
          <w:szCs w:val="24"/>
        </w:rPr>
        <w:t>as articulated in the GTP-II,</w:t>
      </w:r>
      <w:r>
        <w:rPr>
          <w:rFonts w:ascii="Garamond" w:hAnsi="Garamond"/>
          <w:sz w:val="24"/>
          <w:szCs w:val="24"/>
        </w:rPr>
        <w:t xml:space="preserve"> </w:t>
      </w:r>
      <w:r w:rsidR="00E91D81">
        <w:rPr>
          <w:rFonts w:ascii="Garamond" w:hAnsi="Garamond"/>
          <w:sz w:val="24"/>
          <w:szCs w:val="24"/>
        </w:rPr>
        <w:t xml:space="preserve">shall </w:t>
      </w:r>
      <w:r>
        <w:rPr>
          <w:rFonts w:ascii="Garamond" w:hAnsi="Garamond"/>
          <w:sz w:val="24"/>
          <w:szCs w:val="24"/>
        </w:rPr>
        <w:t xml:space="preserve">include: </w:t>
      </w:r>
    </w:p>
    <w:p w:rsidR="008046F4" w:rsidRPr="00AA79CD" w:rsidRDefault="008046F4" w:rsidP="00F82810">
      <w:pPr>
        <w:pStyle w:val="ListParagraph"/>
        <w:numPr>
          <w:ilvl w:val="0"/>
          <w:numId w:val="10"/>
        </w:numPr>
        <w:autoSpaceDE w:val="0"/>
        <w:autoSpaceDN w:val="0"/>
        <w:adjustRightInd w:val="0"/>
        <w:spacing w:after="0" w:line="240" w:lineRule="auto"/>
        <w:jc w:val="both"/>
        <w:rPr>
          <w:rFonts w:ascii="Garamond" w:hAnsi="Garamond"/>
          <w:sz w:val="24"/>
          <w:szCs w:val="24"/>
        </w:rPr>
      </w:pPr>
      <w:r w:rsidRPr="00AA79CD">
        <w:rPr>
          <w:rFonts w:ascii="Garamond" w:hAnsi="Garamond"/>
          <w:sz w:val="24"/>
          <w:szCs w:val="24"/>
        </w:rPr>
        <w:t>public education and mobilization around domestic savings,</w:t>
      </w:r>
    </w:p>
    <w:p w:rsidR="008046F4" w:rsidRPr="00AA79CD" w:rsidRDefault="008046F4" w:rsidP="00F82810">
      <w:pPr>
        <w:pStyle w:val="ListParagraph"/>
        <w:numPr>
          <w:ilvl w:val="0"/>
          <w:numId w:val="10"/>
        </w:numPr>
        <w:autoSpaceDE w:val="0"/>
        <w:autoSpaceDN w:val="0"/>
        <w:adjustRightInd w:val="0"/>
        <w:spacing w:after="0" w:line="240" w:lineRule="auto"/>
        <w:jc w:val="both"/>
        <w:rPr>
          <w:rFonts w:ascii="Garamond" w:hAnsi="Garamond"/>
          <w:sz w:val="24"/>
          <w:szCs w:val="24"/>
        </w:rPr>
      </w:pPr>
      <w:r w:rsidRPr="00AA79CD">
        <w:rPr>
          <w:rFonts w:ascii="Garamond" w:hAnsi="Garamond"/>
          <w:sz w:val="24"/>
          <w:szCs w:val="24"/>
        </w:rPr>
        <w:t>maintain positive real interest rate</w:t>
      </w:r>
      <w:r>
        <w:rPr>
          <w:rFonts w:ascii="Garamond" w:hAnsi="Garamond"/>
          <w:sz w:val="24"/>
          <w:szCs w:val="24"/>
        </w:rPr>
        <w:t>,</w:t>
      </w:r>
    </w:p>
    <w:p w:rsidR="008046F4" w:rsidRPr="00AA79CD" w:rsidRDefault="008046F4" w:rsidP="00F82810">
      <w:pPr>
        <w:pStyle w:val="ListParagraph"/>
        <w:numPr>
          <w:ilvl w:val="0"/>
          <w:numId w:val="10"/>
        </w:numPr>
        <w:autoSpaceDE w:val="0"/>
        <w:autoSpaceDN w:val="0"/>
        <w:adjustRightInd w:val="0"/>
        <w:spacing w:after="0" w:line="240" w:lineRule="auto"/>
        <w:jc w:val="both"/>
        <w:rPr>
          <w:rFonts w:ascii="Garamond" w:hAnsi="Garamond"/>
          <w:sz w:val="24"/>
          <w:szCs w:val="24"/>
        </w:rPr>
      </w:pPr>
      <w:r w:rsidRPr="00AA79CD">
        <w:rPr>
          <w:rFonts w:ascii="Garamond" w:hAnsi="Garamond"/>
          <w:sz w:val="24"/>
          <w:szCs w:val="24"/>
        </w:rPr>
        <w:t>expand and improving financial institutions</w:t>
      </w:r>
      <w:r>
        <w:rPr>
          <w:rFonts w:ascii="Garamond" w:hAnsi="Garamond"/>
          <w:sz w:val="24"/>
          <w:szCs w:val="24"/>
        </w:rPr>
        <w:t xml:space="preserve"> including microfinance institutions, and </w:t>
      </w:r>
    </w:p>
    <w:p w:rsidR="008046F4" w:rsidRDefault="008046F4" w:rsidP="00F82810">
      <w:pPr>
        <w:pStyle w:val="ListParagraph"/>
        <w:numPr>
          <w:ilvl w:val="0"/>
          <w:numId w:val="10"/>
        </w:numPr>
        <w:autoSpaceDE w:val="0"/>
        <w:autoSpaceDN w:val="0"/>
        <w:adjustRightInd w:val="0"/>
        <w:spacing w:after="0" w:line="240" w:lineRule="auto"/>
        <w:jc w:val="both"/>
        <w:rPr>
          <w:rFonts w:ascii="Garamond" w:hAnsi="Garamond"/>
          <w:sz w:val="24"/>
          <w:szCs w:val="24"/>
        </w:rPr>
      </w:pPr>
      <w:r>
        <w:rPr>
          <w:rFonts w:ascii="Garamond" w:hAnsi="Garamond"/>
          <w:sz w:val="24"/>
          <w:szCs w:val="24"/>
        </w:rPr>
        <w:lastRenderedPageBreak/>
        <w:t xml:space="preserve">deploy </w:t>
      </w:r>
      <w:r w:rsidRPr="00AA79CD">
        <w:rPr>
          <w:rFonts w:ascii="Garamond" w:hAnsi="Garamond"/>
          <w:sz w:val="24"/>
          <w:szCs w:val="24"/>
        </w:rPr>
        <w:t>saving instruments</w:t>
      </w:r>
      <w:r>
        <w:rPr>
          <w:rFonts w:ascii="Garamond" w:hAnsi="Garamond"/>
          <w:sz w:val="24"/>
          <w:szCs w:val="24"/>
        </w:rPr>
        <w:t xml:space="preserve"> including contractual savings</w:t>
      </w:r>
      <w:r w:rsidRPr="00AA79CD">
        <w:rPr>
          <w:rFonts w:ascii="Garamond" w:hAnsi="Garamond"/>
          <w:sz w:val="24"/>
          <w:szCs w:val="24"/>
        </w:rPr>
        <w:t xml:space="preserve"> and </w:t>
      </w:r>
      <w:r>
        <w:rPr>
          <w:rFonts w:ascii="Garamond" w:hAnsi="Garamond"/>
          <w:sz w:val="24"/>
          <w:szCs w:val="24"/>
        </w:rPr>
        <w:t xml:space="preserve">services </w:t>
      </w:r>
      <w:r w:rsidRPr="00AA79CD">
        <w:rPr>
          <w:rFonts w:ascii="Garamond" w:hAnsi="Garamond"/>
          <w:sz w:val="24"/>
          <w:szCs w:val="24"/>
        </w:rPr>
        <w:t xml:space="preserve">such as saving for housing program, saving for investment equipment scheme, </w:t>
      </w:r>
      <w:r w:rsidR="00F611EC">
        <w:rPr>
          <w:rFonts w:ascii="Garamond" w:hAnsi="Garamond"/>
          <w:sz w:val="24"/>
          <w:szCs w:val="24"/>
        </w:rPr>
        <w:t xml:space="preserve">bonds, </w:t>
      </w:r>
      <w:r w:rsidRPr="00AA79CD">
        <w:rPr>
          <w:rFonts w:ascii="Garamond" w:hAnsi="Garamond"/>
          <w:sz w:val="24"/>
          <w:szCs w:val="24"/>
        </w:rPr>
        <w:t xml:space="preserve">social security saving, </w:t>
      </w:r>
      <w:r>
        <w:rPr>
          <w:rFonts w:ascii="Garamond" w:hAnsi="Garamond"/>
          <w:sz w:val="24"/>
          <w:szCs w:val="24"/>
        </w:rPr>
        <w:t xml:space="preserve">and </w:t>
      </w:r>
      <w:r w:rsidRPr="00AA79CD">
        <w:rPr>
          <w:rFonts w:ascii="Garamond" w:hAnsi="Garamond"/>
          <w:sz w:val="24"/>
          <w:szCs w:val="24"/>
        </w:rPr>
        <w:t>health insurance saving</w:t>
      </w:r>
      <w:r>
        <w:rPr>
          <w:rFonts w:ascii="Garamond" w:hAnsi="Garamond"/>
          <w:sz w:val="24"/>
          <w:szCs w:val="24"/>
        </w:rPr>
        <w:t>.</w:t>
      </w:r>
    </w:p>
    <w:p w:rsidR="00674CB3" w:rsidRDefault="00674CB3" w:rsidP="00674CB3">
      <w:pPr>
        <w:pStyle w:val="ListParagraph"/>
        <w:autoSpaceDE w:val="0"/>
        <w:autoSpaceDN w:val="0"/>
        <w:adjustRightInd w:val="0"/>
        <w:spacing w:after="0" w:line="240" w:lineRule="auto"/>
        <w:jc w:val="both"/>
        <w:rPr>
          <w:rFonts w:ascii="Garamond" w:hAnsi="Garamond"/>
          <w:sz w:val="24"/>
          <w:szCs w:val="24"/>
        </w:rPr>
      </w:pPr>
    </w:p>
    <w:p w:rsidR="008046F4" w:rsidRPr="004B6379" w:rsidRDefault="00E016A0" w:rsidP="004B6379">
      <w:pPr>
        <w:pStyle w:val="Heading2"/>
        <w:rPr>
          <w:rFonts w:ascii="Garamond" w:hAnsi="Garamond"/>
          <w:b/>
          <w:sz w:val="24"/>
          <w:szCs w:val="24"/>
        </w:rPr>
      </w:pPr>
      <w:bookmarkStart w:id="63" w:name="_Toc486782271"/>
      <w:r w:rsidRPr="004B6379">
        <w:rPr>
          <w:rFonts w:ascii="Garamond" w:hAnsi="Garamond" w:cs="Times New Roman"/>
          <w:b/>
          <w:sz w:val="24"/>
          <w:szCs w:val="24"/>
        </w:rPr>
        <w:t>5.</w:t>
      </w:r>
      <w:r w:rsidR="008218D1" w:rsidRPr="004B6379">
        <w:rPr>
          <w:rFonts w:ascii="Garamond" w:hAnsi="Garamond" w:cs="Times New Roman"/>
          <w:b/>
          <w:sz w:val="24"/>
          <w:szCs w:val="24"/>
        </w:rPr>
        <w:t>3</w:t>
      </w:r>
      <w:r w:rsidR="0032037D" w:rsidRPr="004B6379">
        <w:rPr>
          <w:rFonts w:ascii="Garamond" w:hAnsi="Garamond"/>
          <w:b/>
          <w:sz w:val="24"/>
          <w:szCs w:val="24"/>
        </w:rPr>
        <w:t xml:space="preserve"> </w:t>
      </w:r>
      <w:r w:rsidR="008046F4" w:rsidRPr="004B6379">
        <w:rPr>
          <w:rFonts w:ascii="Garamond" w:hAnsi="Garamond"/>
          <w:b/>
          <w:sz w:val="24"/>
          <w:szCs w:val="24"/>
        </w:rPr>
        <w:t>Domestic private business and finance</w:t>
      </w:r>
      <w:bookmarkEnd w:id="63"/>
      <w:r w:rsidR="008046F4" w:rsidRPr="004B6379">
        <w:rPr>
          <w:rFonts w:ascii="Garamond" w:hAnsi="Garamond"/>
          <w:b/>
          <w:sz w:val="24"/>
          <w:szCs w:val="24"/>
        </w:rPr>
        <w:t xml:space="preserve"> </w:t>
      </w:r>
    </w:p>
    <w:p w:rsidR="0032037D" w:rsidRDefault="0032037D" w:rsidP="00C26A15">
      <w:pPr>
        <w:autoSpaceDE w:val="0"/>
        <w:autoSpaceDN w:val="0"/>
        <w:adjustRightInd w:val="0"/>
        <w:spacing w:after="0" w:line="240" w:lineRule="auto"/>
        <w:jc w:val="both"/>
        <w:rPr>
          <w:rFonts w:ascii="Garamond" w:hAnsi="Garamond"/>
          <w:sz w:val="24"/>
          <w:szCs w:val="24"/>
        </w:rPr>
      </w:pPr>
    </w:p>
    <w:p w:rsidR="000B11CF" w:rsidRDefault="008046F4" w:rsidP="00C26A15">
      <w:pPr>
        <w:autoSpaceDE w:val="0"/>
        <w:autoSpaceDN w:val="0"/>
        <w:adjustRightInd w:val="0"/>
        <w:spacing w:after="0" w:line="240" w:lineRule="auto"/>
        <w:jc w:val="both"/>
        <w:rPr>
          <w:rFonts w:ascii="Garamond" w:hAnsi="Garamond"/>
          <w:sz w:val="24"/>
          <w:szCs w:val="24"/>
        </w:rPr>
      </w:pPr>
      <w:r w:rsidRPr="001E15D8">
        <w:rPr>
          <w:rFonts w:ascii="Garamond" w:hAnsi="Garamond"/>
          <w:sz w:val="24"/>
          <w:szCs w:val="24"/>
        </w:rPr>
        <w:t>The AAAA recognizes the growing role</w:t>
      </w:r>
      <w:r w:rsidR="000B11CF">
        <w:rPr>
          <w:rFonts w:ascii="Garamond" w:hAnsi="Garamond"/>
          <w:sz w:val="24"/>
          <w:szCs w:val="24"/>
        </w:rPr>
        <w:t>s</w:t>
      </w:r>
      <w:r w:rsidRPr="001E15D8">
        <w:rPr>
          <w:rFonts w:ascii="Garamond" w:hAnsi="Garamond"/>
          <w:sz w:val="24"/>
          <w:szCs w:val="24"/>
        </w:rPr>
        <w:t xml:space="preserve"> of private </w:t>
      </w:r>
      <w:r w:rsidR="000B11CF">
        <w:rPr>
          <w:rFonts w:ascii="Garamond" w:hAnsi="Garamond"/>
          <w:sz w:val="24"/>
          <w:szCs w:val="24"/>
        </w:rPr>
        <w:t xml:space="preserve">finance and </w:t>
      </w:r>
      <w:r>
        <w:rPr>
          <w:rFonts w:ascii="Garamond" w:hAnsi="Garamond"/>
          <w:sz w:val="24"/>
          <w:szCs w:val="24"/>
        </w:rPr>
        <w:t xml:space="preserve">business activity as </w:t>
      </w:r>
      <w:r w:rsidRPr="00C64B21">
        <w:rPr>
          <w:rFonts w:ascii="Garamond" w:hAnsi="Garamond"/>
          <w:sz w:val="24"/>
          <w:szCs w:val="24"/>
        </w:rPr>
        <w:t xml:space="preserve">major </w:t>
      </w:r>
      <w:r>
        <w:rPr>
          <w:rFonts w:ascii="Garamond" w:hAnsi="Garamond"/>
          <w:sz w:val="24"/>
          <w:szCs w:val="24"/>
        </w:rPr>
        <w:t>driver</w:t>
      </w:r>
      <w:r w:rsidR="000B11CF">
        <w:rPr>
          <w:rFonts w:ascii="Garamond" w:hAnsi="Garamond"/>
          <w:sz w:val="24"/>
          <w:szCs w:val="24"/>
        </w:rPr>
        <w:t>s</w:t>
      </w:r>
      <w:r w:rsidRPr="00C64B21">
        <w:rPr>
          <w:rFonts w:ascii="Garamond" w:hAnsi="Garamond"/>
          <w:sz w:val="24"/>
          <w:szCs w:val="24"/>
        </w:rPr>
        <w:t xml:space="preserve"> of inclusive economic growth and job creation</w:t>
      </w:r>
      <w:r>
        <w:rPr>
          <w:rFonts w:ascii="Garamond" w:hAnsi="Garamond"/>
          <w:sz w:val="24"/>
          <w:szCs w:val="24"/>
        </w:rPr>
        <w:t xml:space="preserve"> and help </w:t>
      </w:r>
      <w:r w:rsidRPr="00C64B21">
        <w:rPr>
          <w:rFonts w:ascii="Garamond" w:hAnsi="Garamond"/>
          <w:sz w:val="24"/>
          <w:szCs w:val="24"/>
        </w:rPr>
        <w:t>reduce poverty and inequality (SDG 1, 10) and foster</w:t>
      </w:r>
      <w:r>
        <w:rPr>
          <w:rFonts w:ascii="Garamond" w:hAnsi="Garamond"/>
          <w:sz w:val="24"/>
          <w:szCs w:val="24"/>
        </w:rPr>
        <w:t xml:space="preserve"> </w:t>
      </w:r>
      <w:r w:rsidRPr="00C64B21">
        <w:rPr>
          <w:rFonts w:ascii="Garamond" w:hAnsi="Garamond"/>
          <w:sz w:val="24"/>
          <w:szCs w:val="24"/>
        </w:rPr>
        <w:t>inclusive growth (SDG 8</w:t>
      </w:r>
      <w:r>
        <w:rPr>
          <w:rFonts w:ascii="Garamond" w:hAnsi="Garamond"/>
          <w:sz w:val="24"/>
          <w:szCs w:val="24"/>
        </w:rPr>
        <w:t>;</w:t>
      </w:r>
      <w:r w:rsidRPr="00C64B21">
        <w:rPr>
          <w:rFonts w:ascii="Garamond" w:hAnsi="Garamond"/>
          <w:sz w:val="24"/>
          <w:szCs w:val="24"/>
        </w:rPr>
        <w:t xml:space="preserve"> AAAA paras 3</w:t>
      </w:r>
      <w:r>
        <w:rPr>
          <w:rFonts w:ascii="Garamond" w:hAnsi="Garamond"/>
          <w:sz w:val="24"/>
          <w:szCs w:val="24"/>
        </w:rPr>
        <w:t>5-37</w:t>
      </w:r>
      <w:r w:rsidRPr="00C64B21">
        <w:rPr>
          <w:rFonts w:ascii="Garamond" w:hAnsi="Garamond"/>
          <w:sz w:val="24"/>
          <w:szCs w:val="24"/>
        </w:rPr>
        <w:t>).</w:t>
      </w:r>
      <w:r w:rsidRPr="001E15D8">
        <w:rPr>
          <w:rFonts w:ascii="Garamond" w:hAnsi="Garamond"/>
          <w:sz w:val="24"/>
          <w:szCs w:val="24"/>
        </w:rPr>
        <w:t xml:space="preserve"> </w:t>
      </w:r>
    </w:p>
    <w:p w:rsidR="00D04FF0" w:rsidRPr="008C6615" w:rsidRDefault="007B149B" w:rsidP="00C26A15">
      <w:pPr>
        <w:spacing w:after="0" w:line="240" w:lineRule="auto"/>
        <w:jc w:val="both"/>
        <w:rPr>
          <w:rFonts w:ascii="Garamond" w:hAnsi="Garamond"/>
          <w:sz w:val="24"/>
          <w:szCs w:val="24"/>
        </w:rPr>
      </w:pPr>
      <w:r w:rsidRPr="00D04FF0">
        <w:rPr>
          <w:rFonts w:ascii="Garamond" w:hAnsi="Garamond"/>
          <w:sz w:val="24"/>
          <w:szCs w:val="24"/>
        </w:rPr>
        <w:t xml:space="preserve">An increase government spending is indispensable to spearhead the country’s development. But financing increased expenditure requires expanding prudent financing modalities such as harnessing both domestic and foreign private sources of finance. </w:t>
      </w:r>
      <w:r w:rsidR="00C9148F" w:rsidRPr="00D04FF0">
        <w:rPr>
          <w:rFonts w:ascii="Garamond" w:hAnsi="Garamond"/>
          <w:sz w:val="24"/>
          <w:szCs w:val="24"/>
        </w:rPr>
        <w:t xml:space="preserve">One </w:t>
      </w:r>
      <w:r w:rsidR="003B4631" w:rsidRPr="00D04FF0">
        <w:rPr>
          <w:rFonts w:ascii="Garamond" w:hAnsi="Garamond"/>
          <w:sz w:val="24"/>
          <w:szCs w:val="24"/>
        </w:rPr>
        <w:t xml:space="preserve">of the </w:t>
      </w:r>
      <w:r w:rsidR="00C9148F" w:rsidRPr="00D04FF0">
        <w:rPr>
          <w:rFonts w:ascii="Garamond" w:hAnsi="Garamond"/>
          <w:sz w:val="24"/>
          <w:szCs w:val="24"/>
        </w:rPr>
        <w:t>main advantage</w:t>
      </w:r>
      <w:r w:rsidR="003B4631" w:rsidRPr="00D04FF0">
        <w:rPr>
          <w:rFonts w:ascii="Garamond" w:hAnsi="Garamond"/>
          <w:sz w:val="24"/>
          <w:szCs w:val="24"/>
        </w:rPr>
        <w:t>s</w:t>
      </w:r>
      <w:r w:rsidR="00C9148F" w:rsidRPr="00D04FF0">
        <w:rPr>
          <w:rFonts w:ascii="Garamond" w:hAnsi="Garamond"/>
          <w:sz w:val="24"/>
          <w:szCs w:val="24"/>
        </w:rPr>
        <w:t xml:space="preserve"> of engaging with the private sector relates to the possibility of attracting new financial resources. In the short term, this could either be additional to the efforts to scale up public investment expenditures, or allow significant ‘savings’ of public funds.</w:t>
      </w:r>
      <w:r w:rsidR="00D04FF0" w:rsidRPr="00D04FF0">
        <w:rPr>
          <w:rFonts w:ascii="Garamond" w:hAnsi="Garamond"/>
          <w:sz w:val="24"/>
          <w:szCs w:val="24"/>
        </w:rPr>
        <w:t xml:space="preserve"> Accordingly, the Ethiopian </w:t>
      </w:r>
      <w:r w:rsidR="00D04FF0" w:rsidRPr="00D04FF0">
        <w:rPr>
          <w:rFonts w:ascii="Garamond" w:eastAsia="Calibri" w:hAnsi="Garamond"/>
          <w:sz w:val="24"/>
          <w:szCs w:val="24"/>
        </w:rPr>
        <w:t>government has designed different incentive schemes to promote private sector investment</w:t>
      </w:r>
      <w:r w:rsidR="005504B5">
        <w:rPr>
          <w:rFonts w:ascii="Garamond" w:eastAsia="Calibri" w:hAnsi="Garamond"/>
          <w:sz w:val="24"/>
          <w:szCs w:val="24"/>
        </w:rPr>
        <w:t>. The I</w:t>
      </w:r>
      <w:r w:rsidR="00D04FF0" w:rsidRPr="00D04FF0">
        <w:rPr>
          <w:rFonts w:ascii="Garamond" w:eastAsia="Calibri" w:hAnsi="Garamond"/>
          <w:sz w:val="24"/>
          <w:szCs w:val="24"/>
        </w:rPr>
        <w:t xml:space="preserve">nvestment Proclamation No.769/2012 </w:t>
      </w:r>
      <w:r w:rsidR="005504B5">
        <w:rPr>
          <w:rFonts w:ascii="Garamond" w:eastAsia="Calibri" w:hAnsi="Garamond"/>
          <w:sz w:val="24"/>
          <w:szCs w:val="24"/>
        </w:rPr>
        <w:t xml:space="preserve">is the main legal framework for guiding and promoting private sector development in the country. The Ethiopian Investment Commission (EIC) is the main institution responsible for </w:t>
      </w:r>
      <w:r w:rsidR="008C6615">
        <w:rPr>
          <w:rFonts w:ascii="Garamond" w:eastAsia="Calibri" w:hAnsi="Garamond"/>
          <w:sz w:val="24"/>
          <w:szCs w:val="24"/>
        </w:rPr>
        <w:t xml:space="preserve">promoting </w:t>
      </w:r>
      <w:r w:rsidR="005504B5">
        <w:rPr>
          <w:rFonts w:ascii="Garamond" w:eastAsia="Calibri" w:hAnsi="Garamond"/>
          <w:sz w:val="24"/>
          <w:szCs w:val="24"/>
        </w:rPr>
        <w:t xml:space="preserve">private sector investment through various incentives. The </w:t>
      </w:r>
      <w:r w:rsidR="008C6615">
        <w:rPr>
          <w:rFonts w:ascii="Garamond" w:eastAsia="Calibri" w:hAnsi="Garamond"/>
          <w:sz w:val="24"/>
          <w:szCs w:val="24"/>
        </w:rPr>
        <w:t xml:space="preserve">investment </w:t>
      </w:r>
      <w:r w:rsidR="005504B5">
        <w:rPr>
          <w:rFonts w:ascii="Garamond" w:eastAsia="Calibri" w:hAnsi="Garamond"/>
          <w:sz w:val="24"/>
          <w:szCs w:val="24"/>
        </w:rPr>
        <w:t xml:space="preserve">proclamation also provides </w:t>
      </w:r>
      <w:r w:rsidR="00D04FF0" w:rsidRPr="00D04FF0">
        <w:rPr>
          <w:rFonts w:ascii="Garamond" w:eastAsia="Calibri" w:hAnsi="Garamond"/>
          <w:sz w:val="24"/>
          <w:szCs w:val="24"/>
        </w:rPr>
        <w:t xml:space="preserve">various incentives </w:t>
      </w:r>
      <w:r w:rsidR="008C6615">
        <w:rPr>
          <w:rFonts w:ascii="Garamond" w:eastAsia="Calibri" w:hAnsi="Garamond"/>
          <w:sz w:val="24"/>
          <w:szCs w:val="24"/>
        </w:rPr>
        <w:t>including</w:t>
      </w:r>
      <w:r w:rsidR="00D04FF0" w:rsidRPr="00D04FF0">
        <w:rPr>
          <w:rFonts w:ascii="Garamond" w:eastAsia="Calibri" w:hAnsi="Garamond"/>
          <w:sz w:val="24"/>
          <w:szCs w:val="24"/>
        </w:rPr>
        <w:t xml:space="preserve"> provision of land at reduced land lease value, building industrial </w:t>
      </w:r>
      <w:r w:rsidR="00D04FF0" w:rsidRPr="008C6615">
        <w:rPr>
          <w:rFonts w:ascii="Garamond" w:eastAsia="Calibri" w:hAnsi="Garamond"/>
          <w:sz w:val="24"/>
          <w:szCs w:val="24"/>
        </w:rPr>
        <w:t>zones with developed infrastructure, import duty exemption up to 100</w:t>
      </w:r>
      <w:r w:rsidR="00D04FF0" w:rsidRPr="008C6615">
        <w:rPr>
          <w:rFonts w:ascii="Garamond" w:hAnsi="Garamond"/>
          <w:color w:val="000000"/>
          <w:sz w:val="24"/>
          <w:szCs w:val="24"/>
          <w:lang w:eastAsia="en-GB"/>
        </w:rPr>
        <w:t xml:space="preserve"> percent</w:t>
      </w:r>
      <w:r w:rsidR="00D04FF0" w:rsidRPr="008C6615">
        <w:rPr>
          <w:rFonts w:ascii="Garamond" w:eastAsia="Calibri" w:hAnsi="Garamond"/>
          <w:sz w:val="24"/>
          <w:szCs w:val="24"/>
        </w:rPr>
        <w:t xml:space="preserve">, income tax holiday based on investment type and location of the investment, zero tax on export goods, export promotion schemes like voucher system, duty and tax drawback, bonded manufacturing warehouse, export guarantee scheme (except for coffee exporters), foreign currency retention, remittance of capital and the like.  </w:t>
      </w:r>
    </w:p>
    <w:p w:rsidR="00674CB3" w:rsidRPr="00345110" w:rsidRDefault="00674CB3" w:rsidP="00C26A15">
      <w:pPr>
        <w:spacing w:after="0" w:line="240" w:lineRule="auto"/>
        <w:jc w:val="both"/>
        <w:rPr>
          <w:rFonts w:ascii="Garamond" w:hAnsi="Garamond"/>
          <w:sz w:val="24"/>
          <w:szCs w:val="24"/>
        </w:rPr>
      </w:pPr>
    </w:p>
    <w:p w:rsidR="003D2DA3" w:rsidRDefault="00AC44DF" w:rsidP="00C26A15">
      <w:pPr>
        <w:spacing w:after="0" w:line="240" w:lineRule="auto"/>
        <w:jc w:val="both"/>
        <w:rPr>
          <w:rFonts w:ascii="Garamond" w:hAnsi="Garamond"/>
          <w:sz w:val="24"/>
          <w:szCs w:val="24"/>
        </w:rPr>
      </w:pPr>
      <w:r>
        <w:rPr>
          <w:rFonts w:ascii="Garamond" w:hAnsi="Garamond"/>
          <w:sz w:val="24"/>
          <w:szCs w:val="24"/>
        </w:rPr>
        <w:t xml:space="preserve">Harnessing domestic private sector is crucial in speeding the country’s transformation process. </w:t>
      </w:r>
      <w:r w:rsidR="001063E1">
        <w:rPr>
          <w:rFonts w:ascii="Garamond" w:hAnsi="Garamond"/>
          <w:sz w:val="24"/>
          <w:szCs w:val="24"/>
        </w:rPr>
        <w:t xml:space="preserve">Between 2010 and 2016, </w:t>
      </w:r>
      <w:r w:rsidR="00D805A2">
        <w:rPr>
          <w:rFonts w:ascii="Garamond" w:hAnsi="Garamond"/>
          <w:sz w:val="24"/>
          <w:szCs w:val="24"/>
        </w:rPr>
        <w:t xml:space="preserve">of the 39,771 licensed domestic private investment projects, </w:t>
      </w:r>
      <w:r w:rsidR="001063E1">
        <w:rPr>
          <w:rFonts w:ascii="Garamond" w:hAnsi="Garamond"/>
          <w:sz w:val="24"/>
          <w:szCs w:val="24"/>
        </w:rPr>
        <w:t xml:space="preserve">a large proportion of </w:t>
      </w:r>
      <w:r w:rsidR="00D805A2">
        <w:rPr>
          <w:rFonts w:ascii="Garamond" w:hAnsi="Garamond"/>
          <w:sz w:val="24"/>
          <w:szCs w:val="24"/>
        </w:rPr>
        <w:t xml:space="preserve">these </w:t>
      </w:r>
      <w:r w:rsidR="001063E1">
        <w:rPr>
          <w:rFonts w:ascii="Garamond" w:hAnsi="Garamond"/>
          <w:sz w:val="24"/>
          <w:szCs w:val="24"/>
        </w:rPr>
        <w:t xml:space="preserve">investments were under pre-implementation. In 2010, the share of investment projects in operation was </w:t>
      </w:r>
      <w:r w:rsidR="00BD3CAC">
        <w:rPr>
          <w:rFonts w:ascii="Garamond" w:hAnsi="Garamond"/>
          <w:sz w:val="24"/>
          <w:szCs w:val="24"/>
        </w:rPr>
        <w:t xml:space="preserve">only </w:t>
      </w:r>
      <w:r w:rsidR="001A46FA">
        <w:rPr>
          <w:rFonts w:ascii="Garamond" w:hAnsi="Garamond"/>
          <w:sz w:val="24"/>
          <w:szCs w:val="24"/>
        </w:rPr>
        <w:t xml:space="preserve">four </w:t>
      </w:r>
      <w:r w:rsidR="001063E1">
        <w:rPr>
          <w:rFonts w:ascii="Garamond" w:hAnsi="Garamond"/>
          <w:sz w:val="24"/>
          <w:szCs w:val="24"/>
        </w:rPr>
        <w:t xml:space="preserve">percent and this figure declined to </w:t>
      </w:r>
      <w:r w:rsidR="00BD3CAC">
        <w:rPr>
          <w:rFonts w:ascii="Garamond" w:hAnsi="Garamond"/>
          <w:sz w:val="24"/>
          <w:szCs w:val="24"/>
        </w:rPr>
        <w:t>0</w:t>
      </w:r>
      <w:r w:rsidR="001063E1">
        <w:rPr>
          <w:rFonts w:ascii="Garamond" w:hAnsi="Garamond"/>
          <w:sz w:val="24"/>
          <w:szCs w:val="24"/>
        </w:rPr>
        <w:t xml:space="preserve">.20 percent in 2016. </w:t>
      </w:r>
      <w:r w:rsidR="005435FB">
        <w:rPr>
          <w:rFonts w:ascii="Garamond" w:hAnsi="Garamond"/>
          <w:sz w:val="24"/>
          <w:szCs w:val="24"/>
        </w:rPr>
        <w:t>D</w:t>
      </w:r>
      <w:r w:rsidR="00C9148F" w:rsidRPr="00C9148F">
        <w:rPr>
          <w:rFonts w:ascii="Garamond" w:hAnsi="Garamond"/>
          <w:sz w:val="24"/>
          <w:szCs w:val="24"/>
        </w:rPr>
        <w:t>uring  the GTP</w:t>
      </w:r>
      <w:r w:rsidR="005435FB">
        <w:rPr>
          <w:rFonts w:ascii="Garamond" w:hAnsi="Garamond"/>
          <w:sz w:val="24"/>
          <w:szCs w:val="24"/>
        </w:rPr>
        <w:t>-</w:t>
      </w:r>
      <w:r w:rsidR="00C9148F" w:rsidRPr="00C9148F">
        <w:rPr>
          <w:rFonts w:ascii="Garamond" w:hAnsi="Garamond"/>
          <w:sz w:val="24"/>
          <w:szCs w:val="24"/>
        </w:rPr>
        <w:t xml:space="preserve">I  period,  </w:t>
      </w:r>
      <w:r>
        <w:rPr>
          <w:rFonts w:ascii="Garamond" w:hAnsi="Garamond"/>
          <w:sz w:val="24"/>
          <w:szCs w:val="24"/>
        </w:rPr>
        <w:t xml:space="preserve">of the </w:t>
      </w:r>
      <w:r w:rsidR="00C9148F" w:rsidRPr="00C9148F">
        <w:rPr>
          <w:rFonts w:ascii="Garamond" w:hAnsi="Garamond"/>
          <w:sz w:val="24"/>
          <w:szCs w:val="24"/>
        </w:rPr>
        <w:t xml:space="preserve">total  22,097 </w:t>
      </w:r>
      <w:r>
        <w:rPr>
          <w:rFonts w:ascii="Garamond" w:hAnsi="Garamond"/>
          <w:sz w:val="24"/>
          <w:szCs w:val="24"/>
        </w:rPr>
        <w:t xml:space="preserve">licensed </w:t>
      </w:r>
      <w:r w:rsidRPr="00C9148F">
        <w:rPr>
          <w:rFonts w:ascii="Garamond" w:hAnsi="Garamond"/>
          <w:sz w:val="24"/>
          <w:szCs w:val="24"/>
        </w:rPr>
        <w:t xml:space="preserve">domestic </w:t>
      </w:r>
      <w:r w:rsidR="00C9148F" w:rsidRPr="00C9148F">
        <w:rPr>
          <w:rFonts w:ascii="Garamond" w:hAnsi="Garamond"/>
          <w:sz w:val="24"/>
          <w:szCs w:val="24"/>
        </w:rPr>
        <w:t xml:space="preserve">investors with a total  capital  of </w:t>
      </w:r>
      <w:r>
        <w:rPr>
          <w:rFonts w:ascii="Garamond" w:hAnsi="Garamond"/>
          <w:sz w:val="24"/>
          <w:szCs w:val="24"/>
        </w:rPr>
        <w:t>ETB</w:t>
      </w:r>
      <w:r w:rsidR="00C9148F" w:rsidRPr="00C9148F">
        <w:rPr>
          <w:rFonts w:ascii="Garamond" w:hAnsi="Garamond"/>
          <w:sz w:val="24"/>
          <w:szCs w:val="24"/>
        </w:rPr>
        <w:t xml:space="preserve"> 212.74  billion</w:t>
      </w:r>
      <w:r>
        <w:rPr>
          <w:rFonts w:ascii="Garamond" w:hAnsi="Garamond"/>
          <w:sz w:val="24"/>
          <w:szCs w:val="24"/>
        </w:rPr>
        <w:t>, only</w:t>
      </w:r>
      <w:r w:rsidR="00DE00FB">
        <w:rPr>
          <w:rFonts w:ascii="Garamond" w:hAnsi="Garamond"/>
          <w:sz w:val="24"/>
          <w:szCs w:val="24"/>
        </w:rPr>
        <w:t xml:space="preserve"> 0.84 percent (</w:t>
      </w:r>
      <w:r w:rsidR="00C9148F" w:rsidRPr="00C9148F">
        <w:rPr>
          <w:rFonts w:ascii="Garamond" w:hAnsi="Garamond"/>
          <w:sz w:val="24"/>
          <w:szCs w:val="24"/>
        </w:rPr>
        <w:t xml:space="preserve">186 projects with a total capital of </w:t>
      </w:r>
      <w:r w:rsidR="00DE00FB">
        <w:rPr>
          <w:rFonts w:ascii="Garamond" w:hAnsi="Garamond"/>
          <w:sz w:val="24"/>
          <w:szCs w:val="24"/>
        </w:rPr>
        <w:t>ETB</w:t>
      </w:r>
      <w:r w:rsidR="00C9148F" w:rsidRPr="00C9148F">
        <w:rPr>
          <w:rFonts w:ascii="Garamond" w:hAnsi="Garamond"/>
          <w:sz w:val="24"/>
          <w:szCs w:val="24"/>
        </w:rPr>
        <w:t xml:space="preserve"> 4 billion</w:t>
      </w:r>
      <w:r w:rsidR="00DE00FB">
        <w:rPr>
          <w:rFonts w:ascii="Garamond" w:hAnsi="Garamond"/>
          <w:sz w:val="24"/>
          <w:szCs w:val="24"/>
        </w:rPr>
        <w:t>)</w:t>
      </w:r>
      <w:r w:rsidR="00C9148F" w:rsidRPr="00C9148F">
        <w:rPr>
          <w:rFonts w:ascii="Garamond" w:hAnsi="Garamond"/>
          <w:sz w:val="24"/>
          <w:szCs w:val="24"/>
        </w:rPr>
        <w:t xml:space="preserve"> </w:t>
      </w:r>
      <w:r w:rsidR="00DE00FB" w:rsidRPr="00C9148F">
        <w:rPr>
          <w:rFonts w:ascii="Garamond" w:hAnsi="Garamond"/>
          <w:sz w:val="24"/>
          <w:szCs w:val="24"/>
        </w:rPr>
        <w:t>were under  construction</w:t>
      </w:r>
      <w:r w:rsidR="00DE00FB">
        <w:rPr>
          <w:rFonts w:ascii="Garamond" w:hAnsi="Garamond"/>
          <w:sz w:val="24"/>
          <w:szCs w:val="24"/>
        </w:rPr>
        <w:t>, while 1.2 percent (</w:t>
      </w:r>
      <w:r w:rsidR="00DE00FB" w:rsidRPr="00C9148F">
        <w:rPr>
          <w:rFonts w:ascii="Garamond" w:hAnsi="Garamond"/>
          <w:sz w:val="24"/>
          <w:szCs w:val="24"/>
        </w:rPr>
        <w:t xml:space="preserve">262 projects with a total capital of </w:t>
      </w:r>
      <w:r w:rsidR="00DE00FB">
        <w:rPr>
          <w:rFonts w:ascii="Garamond" w:hAnsi="Garamond"/>
          <w:sz w:val="24"/>
          <w:szCs w:val="24"/>
        </w:rPr>
        <w:t>ETB</w:t>
      </w:r>
      <w:r w:rsidR="00DE00FB" w:rsidRPr="00C9148F">
        <w:rPr>
          <w:rFonts w:ascii="Garamond" w:hAnsi="Garamond"/>
          <w:sz w:val="24"/>
          <w:szCs w:val="24"/>
        </w:rPr>
        <w:t xml:space="preserve"> 3.948 billion</w:t>
      </w:r>
      <w:r w:rsidR="00DE00FB">
        <w:rPr>
          <w:rFonts w:ascii="Garamond" w:hAnsi="Garamond"/>
          <w:sz w:val="24"/>
          <w:szCs w:val="24"/>
        </w:rPr>
        <w:t>)</w:t>
      </w:r>
      <w:r w:rsidR="00C9148F" w:rsidRPr="00C9148F">
        <w:rPr>
          <w:rFonts w:ascii="Garamond" w:hAnsi="Garamond"/>
          <w:sz w:val="24"/>
          <w:szCs w:val="24"/>
        </w:rPr>
        <w:t xml:space="preserve"> </w:t>
      </w:r>
      <w:r w:rsidR="00846966">
        <w:rPr>
          <w:rFonts w:ascii="Garamond" w:hAnsi="Garamond"/>
          <w:sz w:val="24"/>
          <w:szCs w:val="24"/>
        </w:rPr>
        <w:t>started o</w:t>
      </w:r>
      <w:r w:rsidR="00C9148F" w:rsidRPr="00C9148F">
        <w:rPr>
          <w:rFonts w:ascii="Garamond" w:hAnsi="Garamond"/>
          <w:sz w:val="24"/>
          <w:szCs w:val="24"/>
        </w:rPr>
        <w:t>peration</w:t>
      </w:r>
      <w:r w:rsidR="00F03421">
        <w:rPr>
          <w:rFonts w:ascii="Garamond" w:hAnsi="Garamond"/>
          <w:sz w:val="24"/>
          <w:szCs w:val="24"/>
        </w:rPr>
        <w:t xml:space="preserve"> (NPC, 2016)</w:t>
      </w:r>
      <w:r w:rsidR="00C9148F" w:rsidRPr="00C9148F">
        <w:rPr>
          <w:rFonts w:ascii="Garamond" w:hAnsi="Garamond"/>
          <w:sz w:val="24"/>
          <w:szCs w:val="24"/>
        </w:rPr>
        <w:t xml:space="preserve">. This </w:t>
      </w:r>
      <w:r w:rsidR="004B4A6B">
        <w:rPr>
          <w:rFonts w:ascii="Garamond" w:hAnsi="Garamond"/>
          <w:sz w:val="24"/>
          <w:szCs w:val="24"/>
        </w:rPr>
        <w:t xml:space="preserve">indicates </w:t>
      </w:r>
      <w:r w:rsidR="00D805A2">
        <w:rPr>
          <w:rFonts w:ascii="Garamond" w:hAnsi="Garamond"/>
          <w:sz w:val="24"/>
          <w:szCs w:val="24"/>
        </w:rPr>
        <w:t xml:space="preserve">that the majority of </w:t>
      </w:r>
      <w:r w:rsidR="004B4A6B">
        <w:rPr>
          <w:rFonts w:ascii="Garamond" w:hAnsi="Garamond"/>
          <w:sz w:val="24"/>
          <w:szCs w:val="24"/>
        </w:rPr>
        <w:t xml:space="preserve">domestic </w:t>
      </w:r>
      <w:r w:rsidR="00C9148F" w:rsidRPr="00C9148F">
        <w:rPr>
          <w:rFonts w:ascii="Garamond" w:hAnsi="Garamond"/>
          <w:sz w:val="24"/>
          <w:szCs w:val="24"/>
        </w:rPr>
        <w:t xml:space="preserve">private investment projects </w:t>
      </w:r>
      <w:r w:rsidR="003C3C7D">
        <w:rPr>
          <w:rFonts w:ascii="Garamond" w:hAnsi="Garamond"/>
          <w:sz w:val="24"/>
          <w:szCs w:val="24"/>
        </w:rPr>
        <w:t>r</w:t>
      </w:r>
      <w:r w:rsidR="00C9148F" w:rsidRPr="00C9148F">
        <w:rPr>
          <w:rFonts w:ascii="Garamond" w:hAnsi="Garamond"/>
          <w:sz w:val="24"/>
          <w:szCs w:val="24"/>
        </w:rPr>
        <w:t>egistered with the federal</w:t>
      </w:r>
      <w:r w:rsidR="00846966">
        <w:rPr>
          <w:rFonts w:ascii="Garamond" w:hAnsi="Garamond"/>
          <w:sz w:val="24"/>
          <w:szCs w:val="24"/>
        </w:rPr>
        <w:t xml:space="preserve"> </w:t>
      </w:r>
      <w:r w:rsidR="00846966" w:rsidRPr="00C9148F">
        <w:rPr>
          <w:rFonts w:ascii="Garamond" w:hAnsi="Garamond"/>
          <w:sz w:val="24"/>
          <w:szCs w:val="24"/>
        </w:rPr>
        <w:t>and regional</w:t>
      </w:r>
      <w:r w:rsidR="00C9148F" w:rsidRPr="00C9148F">
        <w:rPr>
          <w:rFonts w:ascii="Garamond" w:hAnsi="Garamond"/>
          <w:sz w:val="24"/>
          <w:szCs w:val="24"/>
        </w:rPr>
        <w:t xml:space="preserve"> </w:t>
      </w:r>
      <w:r w:rsidR="00025E71">
        <w:rPr>
          <w:rFonts w:ascii="Garamond" w:hAnsi="Garamond"/>
          <w:sz w:val="24"/>
          <w:szCs w:val="24"/>
        </w:rPr>
        <w:t xml:space="preserve">offices have not been </w:t>
      </w:r>
      <w:r w:rsidR="00C9148F" w:rsidRPr="00C9148F">
        <w:rPr>
          <w:rFonts w:ascii="Garamond" w:hAnsi="Garamond"/>
          <w:sz w:val="24"/>
          <w:szCs w:val="24"/>
        </w:rPr>
        <w:t>translate</w:t>
      </w:r>
      <w:r w:rsidR="00025E71">
        <w:rPr>
          <w:rFonts w:ascii="Garamond" w:hAnsi="Garamond"/>
          <w:sz w:val="24"/>
          <w:szCs w:val="24"/>
        </w:rPr>
        <w:t>d</w:t>
      </w:r>
      <w:r w:rsidR="00C9148F" w:rsidRPr="00C9148F">
        <w:rPr>
          <w:rFonts w:ascii="Garamond" w:hAnsi="Garamond"/>
          <w:sz w:val="24"/>
          <w:szCs w:val="24"/>
        </w:rPr>
        <w:t xml:space="preserve"> into actual investments on the ground.</w:t>
      </w:r>
      <w:r w:rsidR="00A001F8" w:rsidRPr="00A001F8">
        <w:rPr>
          <w:rFonts w:ascii="Garamond" w:hAnsi="Garamond"/>
          <w:sz w:val="24"/>
          <w:szCs w:val="24"/>
        </w:rPr>
        <w:t xml:space="preserve"> In terms of sectoral distribution, a large proportion of domestic</w:t>
      </w:r>
      <w:r w:rsidR="004B4A6B">
        <w:rPr>
          <w:rFonts w:ascii="Garamond" w:hAnsi="Garamond"/>
          <w:sz w:val="24"/>
          <w:szCs w:val="24"/>
        </w:rPr>
        <w:t xml:space="preserve"> private </w:t>
      </w:r>
      <w:r w:rsidR="00A001F8" w:rsidRPr="00A001F8">
        <w:rPr>
          <w:rFonts w:ascii="Garamond" w:hAnsi="Garamond"/>
          <w:sz w:val="24"/>
          <w:szCs w:val="24"/>
        </w:rPr>
        <w:t xml:space="preserve">investors </w:t>
      </w:r>
      <w:r w:rsidR="004B4A6B">
        <w:rPr>
          <w:rFonts w:ascii="Garamond" w:hAnsi="Garamond"/>
          <w:sz w:val="24"/>
          <w:szCs w:val="24"/>
        </w:rPr>
        <w:t xml:space="preserve">were </w:t>
      </w:r>
      <w:r w:rsidR="00A001F8" w:rsidRPr="00A001F8">
        <w:rPr>
          <w:rFonts w:ascii="Garamond" w:hAnsi="Garamond"/>
          <w:sz w:val="24"/>
          <w:szCs w:val="24"/>
        </w:rPr>
        <w:t xml:space="preserve">engaged in the services sector compared with agriculture and industry. </w:t>
      </w:r>
      <w:r w:rsidR="007A3649">
        <w:rPr>
          <w:rFonts w:ascii="Garamond" w:hAnsi="Garamond"/>
          <w:sz w:val="24"/>
          <w:szCs w:val="24"/>
        </w:rPr>
        <w:t xml:space="preserve">This requires close monitoring and follow </w:t>
      </w:r>
      <w:r w:rsidR="00D34248">
        <w:rPr>
          <w:rFonts w:ascii="Garamond" w:hAnsi="Garamond"/>
          <w:sz w:val="24"/>
          <w:szCs w:val="24"/>
        </w:rPr>
        <w:t xml:space="preserve">up </w:t>
      </w:r>
      <w:r w:rsidR="007A3649">
        <w:rPr>
          <w:rFonts w:ascii="Garamond" w:hAnsi="Garamond"/>
          <w:sz w:val="24"/>
          <w:szCs w:val="24"/>
        </w:rPr>
        <w:t>of licensed projects</w:t>
      </w:r>
      <w:r w:rsidR="00D34248">
        <w:rPr>
          <w:rFonts w:ascii="Garamond" w:hAnsi="Garamond"/>
          <w:sz w:val="24"/>
          <w:szCs w:val="24"/>
        </w:rPr>
        <w:t xml:space="preserve"> and f</w:t>
      </w:r>
      <w:r w:rsidR="00E85FFE">
        <w:rPr>
          <w:rFonts w:ascii="Garamond" w:hAnsi="Garamond"/>
          <w:sz w:val="24"/>
          <w:szCs w:val="24"/>
        </w:rPr>
        <w:t xml:space="preserve">acilitate </w:t>
      </w:r>
      <w:r w:rsidR="00D34248">
        <w:rPr>
          <w:rFonts w:ascii="Garamond" w:hAnsi="Garamond"/>
          <w:sz w:val="24"/>
          <w:szCs w:val="24"/>
        </w:rPr>
        <w:t xml:space="preserve">their </w:t>
      </w:r>
      <w:r w:rsidR="002533D6">
        <w:rPr>
          <w:rFonts w:ascii="Garamond" w:hAnsi="Garamond"/>
          <w:sz w:val="24"/>
          <w:szCs w:val="24"/>
        </w:rPr>
        <w:t>graduation from pre-</w:t>
      </w:r>
      <w:r w:rsidR="00D34248">
        <w:rPr>
          <w:rFonts w:ascii="Garamond" w:hAnsi="Garamond"/>
          <w:sz w:val="24"/>
          <w:szCs w:val="24"/>
        </w:rPr>
        <w:t>implementation</w:t>
      </w:r>
      <w:r w:rsidR="002533D6">
        <w:rPr>
          <w:rFonts w:ascii="Garamond" w:hAnsi="Garamond"/>
          <w:sz w:val="24"/>
          <w:szCs w:val="24"/>
        </w:rPr>
        <w:t xml:space="preserve"> to implementation and operation phases</w:t>
      </w:r>
      <w:r w:rsidR="00D34248">
        <w:rPr>
          <w:rFonts w:ascii="Garamond" w:hAnsi="Garamond"/>
          <w:sz w:val="24"/>
          <w:szCs w:val="24"/>
        </w:rPr>
        <w:t xml:space="preserve">. </w:t>
      </w:r>
    </w:p>
    <w:p w:rsidR="0010158E" w:rsidRDefault="0010158E" w:rsidP="00C26A15">
      <w:pPr>
        <w:spacing w:after="0" w:line="240" w:lineRule="auto"/>
        <w:jc w:val="both"/>
        <w:rPr>
          <w:rFonts w:ascii="Garamond" w:hAnsi="Garamond"/>
          <w:sz w:val="24"/>
          <w:szCs w:val="24"/>
        </w:rPr>
      </w:pPr>
    </w:p>
    <w:p w:rsidR="0010158E" w:rsidRDefault="0010158E" w:rsidP="00C26A15">
      <w:pPr>
        <w:spacing w:after="0" w:line="240" w:lineRule="auto"/>
        <w:jc w:val="both"/>
        <w:rPr>
          <w:rFonts w:ascii="Garamond" w:hAnsi="Garamond"/>
          <w:sz w:val="24"/>
          <w:szCs w:val="24"/>
        </w:rPr>
      </w:pPr>
    </w:p>
    <w:p w:rsidR="0010158E" w:rsidRDefault="0010158E" w:rsidP="00C26A15">
      <w:pPr>
        <w:spacing w:after="0" w:line="240" w:lineRule="auto"/>
        <w:jc w:val="both"/>
        <w:rPr>
          <w:rFonts w:ascii="Garamond" w:hAnsi="Garamond"/>
          <w:sz w:val="24"/>
          <w:szCs w:val="24"/>
        </w:rPr>
      </w:pPr>
    </w:p>
    <w:p w:rsidR="0010158E" w:rsidRDefault="0010158E" w:rsidP="00C26A15">
      <w:pPr>
        <w:spacing w:after="0" w:line="240" w:lineRule="auto"/>
        <w:jc w:val="both"/>
        <w:rPr>
          <w:rFonts w:ascii="Garamond" w:hAnsi="Garamond"/>
          <w:sz w:val="24"/>
          <w:szCs w:val="24"/>
        </w:rPr>
      </w:pPr>
    </w:p>
    <w:p w:rsidR="0047594C" w:rsidRDefault="0047594C" w:rsidP="00C26A15">
      <w:pPr>
        <w:spacing w:after="0" w:line="240" w:lineRule="auto"/>
        <w:jc w:val="both"/>
        <w:rPr>
          <w:rFonts w:ascii="Garamond" w:hAnsi="Garamond"/>
          <w:sz w:val="24"/>
          <w:szCs w:val="24"/>
        </w:rPr>
      </w:pPr>
    </w:p>
    <w:p w:rsidR="0047594C" w:rsidRDefault="0047594C" w:rsidP="00C26A15">
      <w:pPr>
        <w:spacing w:after="0" w:line="240" w:lineRule="auto"/>
        <w:jc w:val="both"/>
        <w:rPr>
          <w:rFonts w:ascii="Garamond" w:hAnsi="Garamond"/>
          <w:sz w:val="24"/>
          <w:szCs w:val="24"/>
        </w:rPr>
      </w:pPr>
    </w:p>
    <w:p w:rsidR="0047594C" w:rsidRDefault="0047594C" w:rsidP="00C26A15">
      <w:pPr>
        <w:spacing w:after="0" w:line="240" w:lineRule="auto"/>
        <w:jc w:val="both"/>
        <w:rPr>
          <w:rFonts w:ascii="Garamond" w:hAnsi="Garamond"/>
          <w:sz w:val="24"/>
          <w:szCs w:val="24"/>
        </w:rPr>
      </w:pPr>
    </w:p>
    <w:p w:rsidR="0010158E" w:rsidRDefault="0010158E" w:rsidP="00C26A15">
      <w:pPr>
        <w:spacing w:after="0" w:line="240" w:lineRule="auto"/>
        <w:jc w:val="both"/>
        <w:rPr>
          <w:rFonts w:ascii="Garamond" w:hAnsi="Garamond"/>
          <w:sz w:val="24"/>
          <w:szCs w:val="24"/>
        </w:rPr>
      </w:pPr>
    </w:p>
    <w:p w:rsidR="006B3CC7" w:rsidRDefault="006B3CC7" w:rsidP="00C26A15">
      <w:pPr>
        <w:spacing w:after="0" w:line="240" w:lineRule="auto"/>
        <w:jc w:val="both"/>
        <w:rPr>
          <w:rFonts w:ascii="Garamond" w:hAnsi="Garamond"/>
          <w:sz w:val="24"/>
          <w:szCs w:val="24"/>
        </w:rPr>
      </w:pPr>
    </w:p>
    <w:p w:rsidR="0010158E" w:rsidRDefault="0010158E" w:rsidP="00C26A15">
      <w:pPr>
        <w:spacing w:after="0" w:line="240" w:lineRule="auto"/>
        <w:jc w:val="both"/>
        <w:rPr>
          <w:rFonts w:ascii="Garamond" w:hAnsi="Garamond"/>
          <w:sz w:val="24"/>
          <w:szCs w:val="24"/>
        </w:rPr>
      </w:pPr>
    </w:p>
    <w:p w:rsidR="0010158E" w:rsidRDefault="0010158E" w:rsidP="00C26A15">
      <w:pPr>
        <w:spacing w:after="0" w:line="240" w:lineRule="auto"/>
        <w:jc w:val="both"/>
        <w:rPr>
          <w:rFonts w:ascii="Garamond" w:hAnsi="Garamond"/>
          <w:sz w:val="24"/>
          <w:szCs w:val="24"/>
        </w:rPr>
      </w:pPr>
    </w:p>
    <w:p w:rsidR="0010158E" w:rsidRDefault="0010158E" w:rsidP="00C26A15">
      <w:pPr>
        <w:spacing w:after="0" w:line="240" w:lineRule="auto"/>
        <w:jc w:val="both"/>
        <w:rPr>
          <w:rFonts w:ascii="Garamond" w:hAnsi="Garamond"/>
          <w:sz w:val="24"/>
          <w:szCs w:val="24"/>
        </w:rPr>
      </w:pPr>
    </w:p>
    <w:p w:rsidR="000F5EFD" w:rsidRDefault="000F5EFD" w:rsidP="00C26A15">
      <w:pPr>
        <w:pStyle w:val="Caption"/>
        <w:spacing w:after="0"/>
        <w:rPr>
          <w:rFonts w:ascii="Garamond" w:hAnsi="Garamond"/>
          <w:sz w:val="22"/>
          <w:szCs w:val="22"/>
        </w:rPr>
      </w:pPr>
      <w:bookmarkStart w:id="64" w:name="_Toc486585954"/>
      <w:r w:rsidRPr="000F5EFD">
        <w:rPr>
          <w:rFonts w:ascii="Garamond" w:hAnsi="Garamond"/>
          <w:sz w:val="22"/>
          <w:szCs w:val="22"/>
        </w:rPr>
        <w:t xml:space="preserve">Figure </w:t>
      </w:r>
      <w:r w:rsidR="00BF3BBC" w:rsidRPr="000F5EFD">
        <w:rPr>
          <w:rFonts w:ascii="Garamond" w:hAnsi="Garamond"/>
          <w:sz w:val="22"/>
          <w:szCs w:val="22"/>
        </w:rPr>
        <w:fldChar w:fldCharType="begin"/>
      </w:r>
      <w:r w:rsidRPr="000F5EFD">
        <w:rPr>
          <w:rFonts w:ascii="Garamond" w:hAnsi="Garamond"/>
          <w:sz w:val="22"/>
          <w:szCs w:val="22"/>
        </w:rPr>
        <w:instrText xml:space="preserve"> SEQ Figure \* ARABIC </w:instrText>
      </w:r>
      <w:r w:rsidR="00BF3BBC" w:rsidRPr="000F5EFD">
        <w:rPr>
          <w:rFonts w:ascii="Garamond" w:hAnsi="Garamond"/>
          <w:sz w:val="22"/>
          <w:szCs w:val="22"/>
        </w:rPr>
        <w:fldChar w:fldCharType="separate"/>
      </w:r>
      <w:r w:rsidR="006C24A4">
        <w:rPr>
          <w:rFonts w:ascii="Garamond" w:hAnsi="Garamond"/>
          <w:noProof/>
          <w:sz w:val="22"/>
          <w:szCs w:val="22"/>
        </w:rPr>
        <w:t>19</w:t>
      </w:r>
      <w:r w:rsidR="00BF3BBC" w:rsidRPr="000F5EFD">
        <w:rPr>
          <w:rFonts w:ascii="Garamond" w:hAnsi="Garamond"/>
          <w:sz w:val="22"/>
          <w:szCs w:val="22"/>
        </w:rPr>
        <w:fldChar w:fldCharType="end"/>
      </w:r>
      <w:r w:rsidRPr="000F5EFD">
        <w:rPr>
          <w:rFonts w:ascii="Garamond" w:hAnsi="Garamond"/>
          <w:sz w:val="22"/>
          <w:szCs w:val="22"/>
        </w:rPr>
        <w:t>: Trends in licensed domestic private investment (Percent share)</w:t>
      </w:r>
      <w:bookmarkEnd w:id="64"/>
    </w:p>
    <w:p w:rsidR="00D805A2" w:rsidRPr="00D805A2" w:rsidRDefault="00D805A2" w:rsidP="00C26A15">
      <w:pPr>
        <w:spacing w:after="0" w:line="240" w:lineRule="auto"/>
        <w:rPr>
          <w:lang w:val="en-GB" w:eastAsia="en-GB"/>
        </w:rPr>
      </w:pPr>
      <w:r w:rsidRPr="00D805A2">
        <w:rPr>
          <w:noProof/>
        </w:rPr>
        <w:drawing>
          <wp:inline distT="0" distB="0" distL="0" distR="0">
            <wp:extent cx="5932214" cy="260985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5946006" cy="2615918"/>
                    </a:xfrm>
                    <a:prstGeom prst="rect">
                      <a:avLst/>
                    </a:prstGeom>
                  </pic:spPr>
                </pic:pic>
              </a:graphicData>
            </a:graphic>
          </wp:inline>
        </w:drawing>
      </w:r>
    </w:p>
    <w:p w:rsidR="0079722D" w:rsidRDefault="000F5EFD" w:rsidP="00DD7163">
      <w:pPr>
        <w:spacing w:after="0" w:line="240" w:lineRule="auto"/>
        <w:jc w:val="both"/>
        <w:rPr>
          <w:rFonts w:ascii="Garamond" w:hAnsi="Garamond"/>
        </w:rPr>
      </w:pPr>
      <w:r w:rsidRPr="00BD3CAC">
        <w:rPr>
          <w:rFonts w:ascii="Garamond" w:hAnsi="Garamond"/>
        </w:rPr>
        <w:t>Source: Based on Ethiopian Investment Commission Data</w:t>
      </w:r>
    </w:p>
    <w:p w:rsidR="00DD7163" w:rsidRDefault="00DD7163" w:rsidP="00DD7163">
      <w:pPr>
        <w:spacing w:after="0" w:line="240" w:lineRule="auto"/>
        <w:jc w:val="both"/>
        <w:rPr>
          <w:rFonts w:ascii="Garamond" w:hAnsi="Garamond"/>
        </w:rPr>
      </w:pPr>
    </w:p>
    <w:p w:rsidR="008046F4" w:rsidRPr="005A7794" w:rsidRDefault="005A7794" w:rsidP="00C26A15">
      <w:pPr>
        <w:pStyle w:val="Heading4"/>
        <w:spacing w:before="0" w:line="240" w:lineRule="auto"/>
        <w:rPr>
          <w:rFonts w:ascii="Garamond" w:hAnsi="Garamond"/>
          <w:b/>
          <w:i w:val="0"/>
          <w:sz w:val="24"/>
          <w:szCs w:val="24"/>
        </w:rPr>
      </w:pPr>
      <w:r w:rsidRPr="005A7794">
        <w:rPr>
          <w:rFonts w:ascii="Garamond" w:hAnsi="Garamond" w:cs="Times New Roman"/>
          <w:b/>
          <w:i w:val="0"/>
          <w:sz w:val="24"/>
          <w:szCs w:val="24"/>
        </w:rPr>
        <w:t>5.</w:t>
      </w:r>
      <w:r w:rsidRPr="005A7794">
        <w:rPr>
          <w:rFonts w:ascii="Garamond" w:hAnsi="Garamond"/>
          <w:b/>
          <w:i w:val="0"/>
          <w:sz w:val="24"/>
          <w:szCs w:val="24"/>
        </w:rPr>
        <w:t>3 Public-private partnership in Ethiopia</w:t>
      </w:r>
    </w:p>
    <w:p w:rsidR="005D1E20" w:rsidRDefault="005D1E20" w:rsidP="00C26A15">
      <w:pPr>
        <w:autoSpaceDE w:val="0"/>
        <w:autoSpaceDN w:val="0"/>
        <w:adjustRightInd w:val="0"/>
        <w:spacing w:after="0" w:line="240" w:lineRule="auto"/>
        <w:jc w:val="both"/>
        <w:rPr>
          <w:rFonts w:ascii="Garamond" w:hAnsi="Garamond"/>
          <w:sz w:val="24"/>
          <w:szCs w:val="24"/>
        </w:rPr>
      </w:pPr>
    </w:p>
    <w:p w:rsidR="00423DF4" w:rsidRDefault="009F4DCF" w:rsidP="00C26A15">
      <w:pPr>
        <w:autoSpaceDE w:val="0"/>
        <w:autoSpaceDN w:val="0"/>
        <w:adjustRightInd w:val="0"/>
        <w:spacing w:after="0" w:line="240" w:lineRule="auto"/>
        <w:jc w:val="both"/>
        <w:rPr>
          <w:rFonts w:ascii="Garamond" w:hAnsi="Garamond"/>
          <w:sz w:val="24"/>
          <w:szCs w:val="24"/>
        </w:rPr>
      </w:pPr>
      <w:r w:rsidRPr="009F4DCF">
        <w:rPr>
          <w:rFonts w:ascii="Garamond" w:hAnsi="Garamond"/>
          <w:sz w:val="24"/>
          <w:szCs w:val="24"/>
        </w:rPr>
        <w:t>The conventional public finance</w:t>
      </w:r>
      <w:r>
        <w:rPr>
          <w:rFonts w:ascii="Garamond" w:hAnsi="Garamond"/>
          <w:sz w:val="24"/>
          <w:szCs w:val="24"/>
        </w:rPr>
        <w:t xml:space="preserve"> approach of p</w:t>
      </w:r>
      <w:r w:rsidRPr="009F4DCF">
        <w:rPr>
          <w:rFonts w:ascii="Garamond" w:hAnsi="Garamond"/>
          <w:sz w:val="24"/>
          <w:szCs w:val="24"/>
        </w:rPr>
        <w:t>aying to achieve public policy purposes mainly from public revenue</w:t>
      </w:r>
      <w:r>
        <w:rPr>
          <w:rFonts w:ascii="Garamond" w:hAnsi="Garamond"/>
          <w:sz w:val="24"/>
          <w:szCs w:val="24"/>
        </w:rPr>
        <w:t xml:space="preserve"> will not help achieve multiple objectives of the government as </w:t>
      </w:r>
      <w:r w:rsidRPr="009F4DCF">
        <w:rPr>
          <w:rFonts w:ascii="Garamond" w:hAnsi="Garamond"/>
          <w:sz w:val="24"/>
          <w:szCs w:val="24"/>
        </w:rPr>
        <w:t xml:space="preserve">this </w:t>
      </w:r>
      <w:r>
        <w:rPr>
          <w:rFonts w:ascii="Garamond" w:hAnsi="Garamond"/>
          <w:sz w:val="24"/>
          <w:szCs w:val="24"/>
        </w:rPr>
        <w:t>approach of</w:t>
      </w:r>
      <w:r w:rsidRPr="009F4DCF">
        <w:rPr>
          <w:rFonts w:ascii="Garamond" w:hAnsi="Garamond"/>
          <w:sz w:val="24"/>
          <w:szCs w:val="24"/>
        </w:rPr>
        <w:t>ten leaves many goals underfunded</w:t>
      </w:r>
      <w:r>
        <w:rPr>
          <w:rFonts w:ascii="Garamond" w:hAnsi="Garamond"/>
          <w:sz w:val="24"/>
          <w:szCs w:val="24"/>
        </w:rPr>
        <w:t>.</w:t>
      </w:r>
      <w:r w:rsidRPr="009F4DCF">
        <w:rPr>
          <w:rFonts w:ascii="Garamond" w:hAnsi="Garamond"/>
          <w:sz w:val="24"/>
          <w:szCs w:val="24"/>
        </w:rPr>
        <w:t xml:space="preserve"> New approaches and financing technologies are emerging that could </w:t>
      </w:r>
      <w:r>
        <w:rPr>
          <w:rFonts w:ascii="Garamond" w:hAnsi="Garamond"/>
          <w:sz w:val="24"/>
          <w:szCs w:val="24"/>
        </w:rPr>
        <w:t xml:space="preserve">help </w:t>
      </w:r>
      <w:r w:rsidRPr="009F4DCF">
        <w:rPr>
          <w:rFonts w:ascii="Garamond" w:hAnsi="Garamond"/>
          <w:sz w:val="24"/>
          <w:szCs w:val="24"/>
        </w:rPr>
        <w:t>pursue public policy goals more efficiently at lower cost and with higher welfare gains</w:t>
      </w:r>
      <w:r>
        <w:rPr>
          <w:rFonts w:ascii="Garamond" w:hAnsi="Garamond"/>
          <w:sz w:val="24"/>
          <w:szCs w:val="24"/>
        </w:rPr>
        <w:t>.</w:t>
      </w:r>
      <w:r>
        <w:rPr>
          <w:rStyle w:val="FootnoteReference"/>
          <w:rFonts w:ascii="Garamond" w:hAnsi="Garamond"/>
          <w:sz w:val="24"/>
          <w:szCs w:val="24"/>
        </w:rPr>
        <w:footnoteReference w:id="17"/>
      </w:r>
      <w:r w:rsidRPr="009F4DCF">
        <w:rPr>
          <w:rFonts w:ascii="Garamond" w:hAnsi="Garamond"/>
          <w:sz w:val="24"/>
          <w:szCs w:val="24"/>
        </w:rPr>
        <w:t xml:space="preserve"> </w:t>
      </w:r>
      <w:r w:rsidR="005D1E20">
        <w:rPr>
          <w:rFonts w:ascii="Garamond" w:hAnsi="Garamond"/>
          <w:sz w:val="24"/>
          <w:szCs w:val="24"/>
        </w:rPr>
        <w:t>To m</w:t>
      </w:r>
      <w:r>
        <w:rPr>
          <w:rFonts w:ascii="Garamond" w:hAnsi="Garamond"/>
          <w:sz w:val="24"/>
          <w:szCs w:val="24"/>
        </w:rPr>
        <w:t>obilize the</w:t>
      </w:r>
      <w:r w:rsidR="009203D0" w:rsidRPr="00EE6349">
        <w:rPr>
          <w:rFonts w:ascii="Garamond" w:hAnsi="Garamond"/>
          <w:sz w:val="24"/>
          <w:szCs w:val="24"/>
        </w:rPr>
        <w:t xml:space="preserve"> private sector for sustainable development </w:t>
      </w:r>
      <w:r w:rsidR="005D1E20">
        <w:rPr>
          <w:rFonts w:ascii="Garamond" w:hAnsi="Garamond"/>
          <w:sz w:val="24"/>
          <w:szCs w:val="24"/>
        </w:rPr>
        <w:t xml:space="preserve">involves </w:t>
      </w:r>
      <w:r w:rsidR="009203D0" w:rsidRPr="00EE6349">
        <w:rPr>
          <w:rFonts w:ascii="Garamond" w:hAnsi="Garamond"/>
          <w:sz w:val="24"/>
          <w:szCs w:val="24"/>
        </w:rPr>
        <w:t>combin</w:t>
      </w:r>
      <w:r w:rsidR="005D1E20">
        <w:rPr>
          <w:rFonts w:ascii="Garamond" w:hAnsi="Garamond"/>
          <w:sz w:val="24"/>
          <w:szCs w:val="24"/>
        </w:rPr>
        <w:t>ing</w:t>
      </w:r>
      <w:r w:rsidR="009203D0" w:rsidRPr="00EE6349">
        <w:rPr>
          <w:rFonts w:ascii="Garamond" w:hAnsi="Garamond"/>
          <w:sz w:val="24"/>
          <w:szCs w:val="24"/>
        </w:rPr>
        <w:t xml:space="preserve"> public financing, regulation, and private market participation into an effective public-private partnership (PPP). </w:t>
      </w:r>
      <w:r w:rsidR="00CA4202" w:rsidRPr="00CA4202">
        <w:rPr>
          <w:rFonts w:ascii="Garamond" w:hAnsi="Garamond"/>
          <w:sz w:val="24"/>
          <w:szCs w:val="24"/>
        </w:rPr>
        <w:t>Public-private partnership refers to a collaborative arrangement between government or the public sector, and a private entity for better provision of public infrastructure and services.</w:t>
      </w:r>
      <w:r w:rsidR="00CA4202" w:rsidRPr="00CA4202">
        <w:t xml:space="preserve"> </w:t>
      </w:r>
      <w:r w:rsidR="00CA4202" w:rsidRPr="00CA4202">
        <w:rPr>
          <w:rFonts w:ascii="Garamond" w:hAnsi="Garamond"/>
          <w:sz w:val="24"/>
          <w:szCs w:val="24"/>
        </w:rPr>
        <w:t>In PPP framework, some of the services that fall under the responsibilities of the public sector are provided by the private sector, with clear agreement on shared objectives for delivery of public infrastructure and/or public services</w:t>
      </w:r>
      <w:r w:rsidR="00423DF4">
        <w:rPr>
          <w:rFonts w:ascii="Garamond" w:hAnsi="Garamond"/>
          <w:sz w:val="24"/>
          <w:szCs w:val="24"/>
        </w:rPr>
        <w:t xml:space="preserve"> (KDI, 2015)</w:t>
      </w:r>
      <w:r w:rsidR="00CA4202" w:rsidRPr="00CA4202">
        <w:rPr>
          <w:rFonts w:ascii="Garamond" w:hAnsi="Garamond"/>
          <w:sz w:val="24"/>
          <w:szCs w:val="24"/>
        </w:rPr>
        <w:t>.</w:t>
      </w:r>
      <w:r w:rsidR="00EE3E55" w:rsidRPr="00EE3E55">
        <w:rPr>
          <w:rFonts w:ascii="Garamond" w:hAnsi="Garamond"/>
          <w:sz w:val="24"/>
          <w:szCs w:val="24"/>
        </w:rPr>
        <w:t xml:space="preserve"> </w:t>
      </w:r>
      <w:r w:rsidR="00627FBE">
        <w:rPr>
          <w:rFonts w:ascii="Garamond" w:hAnsi="Garamond"/>
          <w:sz w:val="24"/>
          <w:szCs w:val="24"/>
        </w:rPr>
        <w:t>The Addis Agenda also recognizes the need for h</w:t>
      </w:r>
      <w:r w:rsidR="00EE3E55" w:rsidRPr="00EE3E55">
        <w:rPr>
          <w:rFonts w:ascii="Garamond" w:hAnsi="Garamond"/>
          <w:sz w:val="24"/>
          <w:szCs w:val="24"/>
        </w:rPr>
        <w:t xml:space="preserve">arnessing public-private partnerships </w:t>
      </w:r>
      <w:r w:rsidR="00EE3E55">
        <w:rPr>
          <w:rFonts w:ascii="Garamond" w:hAnsi="Garamond"/>
          <w:sz w:val="24"/>
          <w:szCs w:val="24"/>
        </w:rPr>
        <w:t xml:space="preserve">as source of </w:t>
      </w:r>
      <w:r w:rsidR="00EE3E55" w:rsidRPr="00EE3E55">
        <w:rPr>
          <w:rFonts w:ascii="Garamond" w:hAnsi="Garamond"/>
          <w:sz w:val="24"/>
          <w:szCs w:val="24"/>
        </w:rPr>
        <w:t xml:space="preserve">blended </w:t>
      </w:r>
      <w:r w:rsidR="00EE3E55">
        <w:rPr>
          <w:rFonts w:ascii="Garamond" w:hAnsi="Garamond"/>
          <w:sz w:val="24"/>
          <w:szCs w:val="24"/>
        </w:rPr>
        <w:t>f</w:t>
      </w:r>
      <w:r w:rsidR="00EE3E55" w:rsidRPr="00EE3E55">
        <w:rPr>
          <w:rFonts w:ascii="Garamond" w:hAnsi="Garamond"/>
          <w:sz w:val="24"/>
          <w:szCs w:val="24"/>
        </w:rPr>
        <w:t>inance to lower investment-speci</w:t>
      </w:r>
      <w:r w:rsidR="00EE3E55">
        <w:rPr>
          <w:rFonts w:ascii="Garamond" w:hAnsi="Garamond"/>
          <w:sz w:val="24"/>
          <w:szCs w:val="24"/>
        </w:rPr>
        <w:t>f</w:t>
      </w:r>
      <w:r w:rsidR="00EE3E55" w:rsidRPr="00EE3E55">
        <w:rPr>
          <w:rFonts w:ascii="Garamond" w:hAnsi="Garamond"/>
          <w:sz w:val="24"/>
          <w:szCs w:val="24"/>
        </w:rPr>
        <w:t xml:space="preserve">ic risks and incentivize additional private sector </w:t>
      </w:r>
      <w:r w:rsidR="00EE3E55">
        <w:rPr>
          <w:rFonts w:ascii="Garamond" w:hAnsi="Garamond"/>
          <w:sz w:val="24"/>
          <w:szCs w:val="24"/>
        </w:rPr>
        <w:t>f</w:t>
      </w:r>
      <w:r w:rsidR="00EE3E55" w:rsidRPr="00EE3E55">
        <w:rPr>
          <w:rFonts w:ascii="Garamond" w:hAnsi="Garamond"/>
          <w:sz w:val="24"/>
          <w:szCs w:val="24"/>
        </w:rPr>
        <w:t>inance across key</w:t>
      </w:r>
      <w:r w:rsidR="00EE3E55">
        <w:rPr>
          <w:rFonts w:ascii="Garamond" w:hAnsi="Garamond"/>
          <w:sz w:val="24"/>
          <w:szCs w:val="24"/>
        </w:rPr>
        <w:t xml:space="preserve"> sectors (AAAA, para.48). </w:t>
      </w:r>
    </w:p>
    <w:p w:rsidR="00A753EC" w:rsidRDefault="00A753EC" w:rsidP="00C26A15">
      <w:pPr>
        <w:autoSpaceDE w:val="0"/>
        <w:autoSpaceDN w:val="0"/>
        <w:adjustRightInd w:val="0"/>
        <w:spacing w:after="0" w:line="240" w:lineRule="auto"/>
        <w:jc w:val="both"/>
        <w:rPr>
          <w:rFonts w:ascii="Garamond" w:hAnsi="Garamond"/>
          <w:sz w:val="24"/>
          <w:szCs w:val="24"/>
        </w:rPr>
      </w:pPr>
    </w:p>
    <w:p w:rsidR="00AD2868" w:rsidRDefault="00423DF4"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The PPP arrangement exists in Ethiopia since the 2000s. The Ethiopian government introduced the PPP arrangement in its 2009 Procurement </w:t>
      </w:r>
      <w:r w:rsidR="00A8206A">
        <w:rPr>
          <w:rFonts w:ascii="Garamond" w:hAnsi="Garamond"/>
          <w:sz w:val="24"/>
          <w:szCs w:val="24"/>
        </w:rPr>
        <w:t xml:space="preserve">and Property Administration </w:t>
      </w:r>
      <w:r>
        <w:rPr>
          <w:rFonts w:ascii="Garamond" w:hAnsi="Garamond"/>
          <w:sz w:val="24"/>
          <w:szCs w:val="24"/>
        </w:rPr>
        <w:t>Proclamation</w:t>
      </w:r>
      <w:r w:rsidR="00A8206A">
        <w:rPr>
          <w:rFonts w:ascii="Garamond" w:hAnsi="Garamond"/>
          <w:sz w:val="24"/>
          <w:szCs w:val="24"/>
        </w:rPr>
        <w:t xml:space="preserve"> No.649/2009</w:t>
      </w:r>
      <w:r>
        <w:rPr>
          <w:rFonts w:ascii="Garamond" w:hAnsi="Garamond"/>
          <w:sz w:val="24"/>
          <w:szCs w:val="24"/>
        </w:rPr>
        <w:t xml:space="preserve"> which led to awarding contracts to the private sector. </w:t>
      </w:r>
      <w:r w:rsidR="00A8206A">
        <w:rPr>
          <w:rFonts w:ascii="Garamond" w:hAnsi="Garamond"/>
          <w:sz w:val="24"/>
          <w:szCs w:val="24"/>
        </w:rPr>
        <w:t xml:space="preserve">In addition, the Supreme Law of the land provides the legal framework for PPP. </w:t>
      </w:r>
      <w:r>
        <w:rPr>
          <w:rFonts w:ascii="Garamond" w:hAnsi="Garamond"/>
          <w:sz w:val="24"/>
          <w:szCs w:val="24"/>
        </w:rPr>
        <w:t xml:space="preserve">However, </w:t>
      </w:r>
      <w:r w:rsidR="00A8206A">
        <w:rPr>
          <w:rFonts w:ascii="Garamond" w:hAnsi="Garamond"/>
          <w:sz w:val="24"/>
          <w:szCs w:val="24"/>
        </w:rPr>
        <w:t xml:space="preserve">specific </w:t>
      </w:r>
      <w:r>
        <w:rPr>
          <w:rFonts w:ascii="Garamond" w:hAnsi="Garamond"/>
          <w:sz w:val="24"/>
          <w:szCs w:val="24"/>
        </w:rPr>
        <w:t xml:space="preserve">policy and legal framework governing PPP is yet to come, leading to an ad hoc </w:t>
      </w:r>
      <w:r w:rsidR="0078451D">
        <w:rPr>
          <w:rFonts w:ascii="Garamond" w:hAnsi="Garamond"/>
          <w:sz w:val="24"/>
          <w:szCs w:val="24"/>
        </w:rPr>
        <w:t xml:space="preserve">undertaking </w:t>
      </w:r>
      <w:r>
        <w:rPr>
          <w:rFonts w:ascii="Garamond" w:hAnsi="Garamond"/>
          <w:sz w:val="24"/>
          <w:szCs w:val="24"/>
        </w:rPr>
        <w:t>of PP</w:t>
      </w:r>
      <w:r w:rsidR="00DE2000">
        <w:rPr>
          <w:rFonts w:ascii="Garamond" w:hAnsi="Garamond"/>
          <w:sz w:val="24"/>
          <w:szCs w:val="24"/>
        </w:rPr>
        <w:t xml:space="preserve"> projects</w:t>
      </w:r>
      <w:r>
        <w:rPr>
          <w:rFonts w:ascii="Garamond" w:hAnsi="Garamond"/>
          <w:sz w:val="24"/>
          <w:szCs w:val="24"/>
        </w:rPr>
        <w:t xml:space="preserve">. </w:t>
      </w:r>
      <w:r w:rsidR="00DE2000">
        <w:rPr>
          <w:rFonts w:ascii="Garamond" w:hAnsi="Garamond"/>
          <w:sz w:val="24"/>
          <w:szCs w:val="24"/>
        </w:rPr>
        <w:t xml:space="preserve">Having a separate legal framework for PPP helps facilitate establishment of a specialized institution to support operationalization of PPPs in the country. </w:t>
      </w:r>
      <w:r w:rsidR="003D780D">
        <w:rPr>
          <w:rFonts w:ascii="Garamond" w:hAnsi="Garamond"/>
          <w:sz w:val="24"/>
          <w:szCs w:val="24"/>
        </w:rPr>
        <w:t>Efforts have been made t</w:t>
      </w:r>
      <w:r w:rsidR="003D780D" w:rsidRPr="003D780D">
        <w:rPr>
          <w:rFonts w:ascii="Garamond" w:hAnsi="Garamond"/>
          <w:sz w:val="24"/>
          <w:szCs w:val="24"/>
        </w:rPr>
        <w:t xml:space="preserve">o tap on PPP initiatives </w:t>
      </w:r>
      <w:r w:rsidR="00F259AE">
        <w:rPr>
          <w:rFonts w:ascii="Garamond" w:hAnsi="Garamond"/>
          <w:sz w:val="24"/>
          <w:szCs w:val="24"/>
        </w:rPr>
        <w:t>in Ethiopia.</w:t>
      </w:r>
      <w:r w:rsidR="003D780D" w:rsidRPr="003D780D">
        <w:rPr>
          <w:rFonts w:ascii="Garamond" w:hAnsi="Garamond"/>
          <w:sz w:val="24"/>
          <w:szCs w:val="24"/>
        </w:rPr>
        <w:t xml:space="preserve"> </w:t>
      </w:r>
      <w:r w:rsidR="0078451D">
        <w:rPr>
          <w:rFonts w:ascii="Garamond" w:hAnsi="Garamond"/>
          <w:sz w:val="24"/>
          <w:szCs w:val="24"/>
        </w:rPr>
        <w:t xml:space="preserve">Early examples </w:t>
      </w:r>
      <w:r w:rsidR="0078451D">
        <w:rPr>
          <w:rFonts w:ascii="Garamond" w:hAnsi="Garamond"/>
          <w:sz w:val="24"/>
          <w:szCs w:val="24"/>
        </w:rPr>
        <w:lastRenderedPageBreak/>
        <w:t xml:space="preserve">of PP projects include a unifying utility billing </w:t>
      </w:r>
      <w:r w:rsidR="00273D8A">
        <w:rPr>
          <w:rFonts w:ascii="Garamond" w:hAnsi="Garamond"/>
          <w:sz w:val="24"/>
          <w:szCs w:val="24"/>
        </w:rPr>
        <w:t xml:space="preserve">system </w:t>
      </w:r>
      <w:r w:rsidR="0078451D">
        <w:rPr>
          <w:rFonts w:ascii="Garamond" w:hAnsi="Garamond"/>
          <w:sz w:val="24"/>
          <w:szCs w:val="24"/>
        </w:rPr>
        <w:t>(‘</w:t>
      </w:r>
      <w:r w:rsidR="0078451D" w:rsidRPr="00813D9B">
        <w:rPr>
          <w:rFonts w:ascii="Garamond" w:hAnsi="Garamond"/>
          <w:i/>
          <w:sz w:val="24"/>
          <w:szCs w:val="24"/>
        </w:rPr>
        <w:t>Lehulu</w:t>
      </w:r>
      <w:r w:rsidR="0078451D">
        <w:rPr>
          <w:rFonts w:ascii="Garamond" w:hAnsi="Garamond"/>
          <w:sz w:val="24"/>
          <w:szCs w:val="24"/>
        </w:rPr>
        <w:t>’)</w:t>
      </w:r>
      <w:r w:rsidR="00AD2868">
        <w:rPr>
          <w:rFonts w:ascii="Garamond" w:hAnsi="Garamond"/>
          <w:sz w:val="24"/>
          <w:szCs w:val="24"/>
        </w:rPr>
        <w:t xml:space="preserve"> (Build-Operate-Transfer</w:t>
      </w:r>
      <w:r w:rsidR="007933C4">
        <w:rPr>
          <w:rFonts w:ascii="Garamond" w:hAnsi="Garamond"/>
          <w:sz w:val="24"/>
          <w:szCs w:val="24"/>
        </w:rPr>
        <w:t>, BOT</w:t>
      </w:r>
      <w:r w:rsidR="00AD2868">
        <w:rPr>
          <w:rFonts w:ascii="Garamond" w:hAnsi="Garamond"/>
          <w:sz w:val="24"/>
          <w:szCs w:val="24"/>
        </w:rPr>
        <w:t>)</w:t>
      </w:r>
      <w:r w:rsidR="0078451D">
        <w:rPr>
          <w:rFonts w:ascii="Garamond" w:hAnsi="Garamond"/>
          <w:sz w:val="24"/>
          <w:szCs w:val="24"/>
        </w:rPr>
        <w:t>, Corbetti geothermal energy</w:t>
      </w:r>
      <w:r w:rsidR="00AD2868">
        <w:rPr>
          <w:rFonts w:ascii="Garamond" w:hAnsi="Garamond"/>
          <w:sz w:val="24"/>
          <w:szCs w:val="24"/>
        </w:rPr>
        <w:t xml:space="preserve"> (Build-Lease-Transfer</w:t>
      </w:r>
      <w:r w:rsidR="007933C4">
        <w:rPr>
          <w:rFonts w:ascii="Garamond" w:hAnsi="Garamond"/>
          <w:sz w:val="24"/>
          <w:szCs w:val="24"/>
        </w:rPr>
        <w:t>, BLT</w:t>
      </w:r>
      <w:r w:rsidR="00AD2868">
        <w:rPr>
          <w:rFonts w:ascii="Garamond" w:hAnsi="Garamond"/>
          <w:sz w:val="24"/>
          <w:szCs w:val="24"/>
        </w:rPr>
        <w:t>)</w:t>
      </w:r>
      <w:r w:rsidR="0078451D">
        <w:rPr>
          <w:rFonts w:ascii="Garamond" w:hAnsi="Garamond"/>
          <w:sz w:val="24"/>
          <w:szCs w:val="24"/>
        </w:rPr>
        <w:t>, management of the Addis Ababa Exhibition Center</w:t>
      </w:r>
      <w:r w:rsidR="00AD2868">
        <w:rPr>
          <w:rFonts w:ascii="Garamond" w:hAnsi="Garamond"/>
          <w:sz w:val="24"/>
          <w:szCs w:val="24"/>
        </w:rPr>
        <w:t xml:space="preserve"> (management contract/lease)</w:t>
      </w:r>
      <w:r w:rsidR="00273D8A">
        <w:rPr>
          <w:rFonts w:ascii="Garamond" w:hAnsi="Garamond"/>
          <w:sz w:val="24"/>
          <w:szCs w:val="24"/>
        </w:rPr>
        <w:t xml:space="preserve">, </w:t>
      </w:r>
      <w:r w:rsidR="00F427C4">
        <w:rPr>
          <w:rFonts w:ascii="Garamond" w:hAnsi="Garamond"/>
          <w:sz w:val="24"/>
          <w:szCs w:val="24"/>
        </w:rPr>
        <w:t xml:space="preserve">urban housing (e.g. design and construction), and </w:t>
      </w:r>
      <w:r w:rsidR="00273D8A">
        <w:rPr>
          <w:rFonts w:ascii="Garamond" w:hAnsi="Garamond"/>
          <w:sz w:val="24"/>
          <w:szCs w:val="24"/>
        </w:rPr>
        <w:t>waste management and recycling</w:t>
      </w:r>
      <w:r w:rsidR="000C7E07">
        <w:rPr>
          <w:rStyle w:val="FootnoteReference"/>
          <w:rFonts w:ascii="Garamond" w:hAnsi="Garamond"/>
          <w:sz w:val="24"/>
          <w:szCs w:val="24"/>
        </w:rPr>
        <w:footnoteReference w:id="18"/>
      </w:r>
      <w:r w:rsidR="0078451D">
        <w:rPr>
          <w:rFonts w:ascii="Garamond" w:hAnsi="Garamond"/>
          <w:sz w:val="24"/>
          <w:szCs w:val="24"/>
        </w:rPr>
        <w:t xml:space="preserve"> (KDI, 2015</w:t>
      </w:r>
      <w:r w:rsidR="00273D8A">
        <w:rPr>
          <w:rFonts w:ascii="Garamond" w:hAnsi="Garamond"/>
          <w:sz w:val="24"/>
          <w:szCs w:val="24"/>
        </w:rPr>
        <w:t>;</w:t>
      </w:r>
      <w:r w:rsidR="00273D8A" w:rsidRPr="00273D8A">
        <w:rPr>
          <w:rFonts w:ascii="Garamond" w:hAnsi="Garamond"/>
          <w:sz w:val="24"/>
          <w:szCs w:val="24"/>
        </w:rPr>
        <w:t xml:space="preserve"> </w:t>
      </w:r>
      <w:r w:rsidR="00273D8A">
        <w:rPr>
          <w:rFonts w:ascii="Garamond" w:hAnsi="Garamond"/>
          <w:sz w:val="24"/>
          <w:szCs w:val="24"/>
        </w:rPr>
        <w:t>Asubonteng, 2011</w:t>
      </w:r>
      <w:r w:rsidR="0078451D">
        <w:rPr>
          <w:rFonts w:ascii="Garamond" w:hAnsi="Garamond"/>
          <w:sz w:val="24"/>
          <w:szCs w:val="24"/>
        </w:rPr>
        <w:t>). These projects involve both domestic and foreign companies</w:t>
      </w:r>
      <w:r w:rsidR="004D04D3">
        <w:rPr>
          <w:rFonts w:ascii="Garamond" w:hAnsi="Garamond"/>
          <w:sz w:val="24"/>
          <w:szCs w:val="24"/>
        </w:rPr>
        <w:t xml:space="preserve"> as well as development partners</w:t>
      </w:r>
      <w:r w:rsidR="0078451D">
        <w:rPr>
          <w:rFonts w:ascii="Garamond" w:hAnsi="Garamond"/>
          <w:sz w:val="24"/>
          <w:szCs w:val="24"/>
        </w:rPr>
        <w:t>.</w:t>
      </w:r>
      <w:r w:rsidR="00C63A4F">
        <w:rPr>
          <w:rStyle w:val="FootnoteReference"/>
          <w:rFonts w:ascii="Garamond" w:hAnsi="Garamond"/>
          <w:sz w:val="24"/>
          <w:szCs w:val="24"/>
        </w:rPr>
        <w:footnoteReference w:id="19"/>
      </w:r>
      <w:r w:rsidR="0078451D">
        <w:rPr>
          <w:rFonts w:ascii="Garamond" w:hAnsi="Garamond"/>
          <w:sz w:val="24"/>
          <w:szCs w:val="24"/>
        </w:rPr>
        <w:t xml:space="preserve"> </w:t>
      </w:r>
      <w:r w:rsidR="00656252">
        <w:rPr>
          <w:rFonts w:ascii="Garamond" w:hAnsi="Garamond"/>
          <w:sz w:val="24"/>
          <w:szCs w:val="24"/>
        </w:rPr>
        <w:t xml:space="preserve">In Ethiopia, </w:t>
      </w:r>
      <w:r w:rsidR="00F7455E">
        <w:rPr>
          <w:rFonts w:ascii="Garamond" w:hAnsi="Garamond"/>
          <w:sz w:val="24"/>
          <w:szCs w:val="24"/>
        </w:rPr>
        <w:t>PPP arrangements involve a mix of concession agreements (e.g. BOT and BLT) and management contracts with full private financing</w:t>
      </w:r>
      <w:r w:rsidR="008C4B40">
        <w:rPr>
          <w:rFonts w:ascii="Garamond" w:hAnsi="Garamond"/>
          <w:sz w:val="24"/>
          <w:szCs w:val="24"/>
        </w:rPr>
        <w:t xml:space="preserve"> </w:t>
      </w:r>
      <w:r w:rsidR="00F7455E">
        <w:rPr>
          <w:rFonts w:ascii="Garamond" w:hAnsi="Garamond"/>
          <w:sz w:val="24"/>
          <w:szCs w:val="24"/>
        </w:rPr>
        <w:t xml:space="preserve">and in-kind contribution by the government. </w:t>
      </w:r>
      <w:r w:rsidR="00927C02">
        <w:rPr>
          <w:rFonts w:ascii="Garamond" w:hAnsi="Garamond"/>
          <w:sz w:val="24"/>
          <w:szCs w:val="24"/>
        </w:rPr>
        <w:t xml:space="preserve">The existing </w:t>
      </w:r>
      <w:r w:rsidR="00262CB7">
        <w:rPr>
          <w:rFonts w:ascii="Garamond" w:hAnsi="Garamond"/>
          <w:sz w:val="24"/>
          <w:szCs w:val="24"/>
        </w:rPr>
        <w:t>PPP initiatives are limited to</w:t>
      </w:r>
      <w:r w:rsidR="00273D8A">
        <w:rPr>
          <w:rFonts w:ascii="Garamond" w:hAnsi="Garamond"/>
          <w:sz w:val="24"/>
          <w:szCs w:val="24"/>
        </w:rPr>
        <w:t xml:space="preserve"> selected </w:t>
      </w:r>
      <w:r w:rsidR="00262CB7">
        <w:rPr>
          <w:rFonts w:ascii="Garamond" w:hAnsi="Garamond"/>
          <w:sz w:val="24"/>
          <w:szCs w:val="24"/>
        </w:rPr>
        <w:t>sectors, focusing on energy generation and services delivery.</w:t>
      </w:r>
    </w:p>
    <w:p w:rsidR="008B2B43" w:rsidRPr="00EE6349" w:rsidRDefault="004C5DEE"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b/>
        </w:rPr>
      </w:pPr>
      <w:r w:rsidRPr="00EE6349">
        <w:rPr>
          <w:rFonts w:ascii="Garamond" w:hAnsi="Garamond"/>
          <w:b/>
        </w:rPr>
        <w:t xml:space="preserve">Box </w:t>
      </w:r>
      <w:r w:rsidR="0079722D">
        <w:rPr>
          <w:rFonts w:ascii="Garamond" w:hAnsi="Garamond"/>
          <w:b/>
        </w:rPr>
        <w:t>7</w:t>
      </w:r>
      <w:r w:rsidRPr="00EE6349">
        <w:rPr>
          <w:rFonts w:ascii="Garamond" w:hAnsi="Garamond"/>
          <w:b/>
        </w:rPr>
        <w:t xml:space="preserve">: A unified payment system for utility services </w:t>
      </w:r>
    </w:p>
    <w:p w:rsidR="008B2B43" w:rsidRPr="00EE6349" w:rsidRDefault="004C5DEE"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rPr>
      </w:pPr>
      <w:r w:rsidRPr="00EE6349">
        <w:rPr>
          <w:rFonts w:ascii="Garamond" w:hAnsi="Garamond"/>
        </w:rPr>
        <w:t>In</w:t>
      </w:r>
      <w:r w:rsidR="008B2B43" w:rsidRPr="00EE6349">
        <w:rPr>
          <w:rFonts w:ascii="Garamond" w:hAnsi="Garamond"/>
        </w:rPr>
        <w:t xml:space="preserve"> 2013, a unified utility billing system known as “</w:t>
      </w:r>
      <w:r w:rsidR="008B2B43" w:rsidRPr="00EE6349">
        <w:rPr>
          <w:rFonts w:ascii="Garamond" w:hAnsi="Garamond"/>
          <w:i/>
        </w:rPr>
        <w:t>Lehulu</w:t>
      </w:r>
      <w:r w:rsidR="008B2B43" w:rsidRPr="00EE6349">
        <w:rPr>
          <w:rFonts w:ascii="Garamond" w:hAnsi="Garamond"/>
        </w:rPr>
        <w:t>”</w:t>
      </w:r>
      <w:r w:rsidRPr="00EE6349">
        <w:rPr>
          <w:rStyle w:val="FootnoteReference"/>
          <w:rFonts w:ascii="Garamond" w:hAnsi="Garamond"/>
        </w:rPr>
        <w:footnoteReference w:id="20"/>
      </w:r>
      <w:r w:rsidR="008B2B43" w:rsidRPr="00EE6349">
        <w:rPr>
          <w:rFonts w:ascii="Garamond" w:hAnsi="Garamond"/>
        </w:rPr>
        <w:t xml:space="preserve"> started operating in Addis Ababa</w:t>
      </w:r>
      <w:r w:rsidRPr="00EE6349">
        <w:rPr>
          <w:rFonts w:ascii="Garamond" w:hAnsi="Garamond"/>
        </w:rPr>
        <w:t xml:space="preserve">, which help service users pay different utility bills at a single service window at convenient times and locations. This service payment system was established by the Ministry of Communication and Information Technology (MoCIT) and the Kifiya Private Limited Company. </w:t>
      </w:r>
      <w:r w:rsidR="008B2B43" w:rsidRPr="00EE6349">
        <w:rPr>
          <w:rFonts w:ascii="Garamond" w:hAnsi="Garamond"/>
        </w:rPr>
        <w:t xml:space="preserve">Before </w:t>
      </w:r>
      <w:r w:rsidR="009B3223" w:rsidRPr="00EE6349">
        <w:rPr>
          <w:rFonts w:ascii="Garamond" w:hAnsi="Garamond"/>
        </w:rPr>
        <w:t xml:space="preserve">the introduction of the </w:t>
      </w:r>
      <w:r w:rsidR="008B2B43" w:rsidRPr="00EE6349">
        <w:rPr>
          <w:rFonts w:ascii="Garamond" w:hAnsi="Garamond"/>
          <w:i/>
        </w:rPr>
        <w:t>Lehulu</w:t>
      </w:r>
      <w:r w:rsidR="008B2B43" w:rsidRPr="00EE6349">
        <w:rPr>
          <w:rFonts w:ascii="Garamond" w:hAnsi="Garamond"/>
        </w:rPr>
        <w:t xml:space="preserve">, </w:t>
      </w:r>
      <w:r w:rsidRPr="00EE6349">
        <w:rPr>
          <w:rFonts w:ascii="Garamond" w:hAnsi="Garamond"/>
        </w:rPr>
        <w:t xml:space="preserve">service users </w:t>
      </w:r>
      <w:r w:rsidR="008B2B43" w:rsidRPr="00EE6349">
        <w:rPr>
          <w:rFonts w:ascii="Garamond" w:hAnsi="Garamond"/>
        </w:rPr>
        <w:t xml:space="preserve">had to pay electricity, water and telephone bills in three different centers, at </w:t>
      </w:r>
      <w:r w:rsidRPr="00EE6349">
        <w:rPr>
          <w:rFonts w:ascii="Garamond" w:hAnsi="Garamond"/>
        </w:rPr>
        <w:t xml:space="preserve">nearby </w:t>
      </w:r>
      <w:r w:rsidR="008B2B43" w:rsidRPr="00EE6349">
        <w:rPr>
          <w:rFonts w:ascii="Garamond" w:hAnsi="Garamond"/>
        </w:rPr>
        <w:t xml:space="preserve">branch offices. Moreover, payment centers for Ethiopian Electric Power Corporation (EEPCO), Addis Ababa Water and Sewage Authority (AAWSA) and Ethio-Telecom used to have different payment schedules. Paying utility bills was a challenge for </w:t>
      </w:r>
      <w:r w:rsidR="001E67AE" w:rsidRPr="00EE6349">
        <w:rPr>
          <w:rFonts w:ascii="Garamond" w:hAnsi="Garamond"/>
        </w:rPr>
        <w:t>households</w:t>
      </w:r>
      <w:r w:rsidR="008B2B43" w:rsidRPr="00EE6349">
        <w:rPr>
          <w:rFonts w:ascii="Garamond" w:hAnsi="Garamond"/>
        </w:rPr>
        <w:t>, and it was not uncommon to see long queues of customers waiting patiently to pay utility bills. Customers of the three services used to take up to three different days as payments had to be paid in three different or overlapping schedules at different locations.</w:t>
      </w:r>
    </w:p>
    <w:p w:rsidR="001E67AE" w:rsidRPr="00EE6349" w:rsidRDefault="001E67AE"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rPr>
      </w:pPr>
      <w:r w:rsidRPr="00EE6349">
        <w:rPr>
          <w:rFonts w:ascii="Garamond" w:hAnsi="Garamond"/>
        </w:rPr>
        <w:t xml:space="preserve">The key lesson </w:t>
      </w:r>
      <w:r w:rsidR="009E6D7B">
        <w:rPr>
          <w:rFonts w:ascii="Garamond" w:hAnsi="Garamond"/>
        </w:rPr>
        <w:t xml:space="preserve">is </w:t>
      </w:r>
      <w:r w:rsidRPr="00EE6349">
        <w:rPr>
          <w:rFonts w:ascii="Garamond" w:hAnsi="Garamond"/>
        </w:rPr>
        <w:t xml:space="preserve">that Public-Private Partnership can </w:t>
      </w:r>
      <w:r w:rsidR="009E6D7B">
        <w:rPr>
          <w:rFonts w:ascii="Garamond" w:hAnsi="Garamond"/>
        </w:rPr>
        <w:t xml:space="preserve">be </w:t>
      </w:r>
      <w:r w:rsidRPr="00EE6349">
        <w:rPr>
          <w:rFonts w:ascii="Garamond" w:hAnsi="Garamond"/>
        </w:rPr>
        <w:t xml:space="preserve">used to deliver infrastructural services. It has also demonstrated the transformational impacts of ICT on city infrastructure and services delivery. Joint planning, design, building and maintenance of infrastructure continue to be some of the challenges facing Ethiopian cities. The experience of </w:t>
      </w:r>
      <w:r w:rsidRPr="00EE6349">
        <w:rPr>
          <w:rFonts w:ascii="Garamond" w:hAnsi="Garamond"/>
          <w:i/>
        </w:rPr>
        <w:t>Lehulu</w:t>
      </w:r>
      <w:r w:rsidRPr="00EE6349">
        <w:rPr>
          <w:rFonts w:ascii="Garamond" w:hAnsi="Garamond"/>
        </w:rPr>
        <w:t xml:space="preserve"> demonstrates how PPP arrangements can enhance efficiency in service delivery and this type of model can also be used in other sectors.  </w:t>
      </w:r>
    </w:p>
    <w:p w:rsidR="00EB0A59" w:rsidRPr="00EE6349" w:rsidRDefault="001E67AE" w:rsidP="00C26A1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aramond" w:hAnsi="Garamond"/>
        </w:rPr>
      </w:pPr>
      <w:r w:rsidRPr="00EE6349">
        <w:rPr>
          <w:rFonts w:ascii="Garamond" w:hAnsi="Garamond"/>
        </w:rPr>
        <w:t xml:space="preserve">Source: </w:t>
      </w:r>
      <w:r w:rsidR="00EB0A59" w:rsidRPr="00EE6349">
        <w:rPr>
          <w:rFonts w:ascii="Garamond" w:hAnsi="Garamond"/>
        </w:rPr>
        <w:t>Ministry of Urban Development, Housing and Construction</w:t>
      </w:r>
      <w:r w:rsidR="00AE4BBB" w:rsidRPr="00EE6349">
        <w:rPr>
          <w:rFonts w:ascii="Garamond" w:hAnsi="Garamond"/>
        </w:rPr>
        <w:t xml:space="preserve"> and Ethiopian Civil Service University (ECSU), 2015</w:t>
      </w:r>
      <w:r w:rsidR="00EB0A59" w:rsidRPr="00EE6349">
        <w:rPr>
          <w:rFonts w:ascii="Garamond" w:hAnsi="Garamond"/>
        </w:rPr>
        <w:t xml:space="preserve"> </w:t>
      </w:r>
    </w:p>
    <w:p w:rsidR="00AD2868" w:rsidRDefault="00AD2868" w:rsidP="00C26A15">
      <w:pPr>
        <w:autoSpaceDE w:val="0"/>
        <w:autoSpaceDN w:val="0"/>
        <w:adjustRightInd w:val="0"/>
        <w:spacing w:after="0" w:line="240" w:lineRule="auto"/>
        <w:jc w:val="both"/>
        <w:rPr>
          <w:rFonts w:ascii="Garamond" w:hAnsi="Garamond"/>
          <w:sz w:val="24"/>
          <w:szCs w:val="24"/>
        </w:rPr>
      </w:pPr>
    </w:p>
    <w:p w:rsidR="009228C3" w:rsidRDefault="00F259AE"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As</w:t>
      </w:r>
      <w:r w:rsidR="00953704">
        <w:rPr>
          <w:rFonts w:ascii="Garamond" w:hAnsi="Garamond"/>
          <w:sz w:val="24"/>
          <w:szCs w:val="24"/>
        </w:rPr>
        <w:t xml:space="preserve"> indicated in the GTP-II, the government recognizes the importance of </w:t>
      </w:r>
      <w:r>
        <w:rPr>
          <w:rFonts w:ascii="Garamond" w:hAnsi="Garamond"/>
          <w:sz w:val="24"/>
          <w:szCs w:val="24"/>
        </w:rPr>
        <w:t>enhancing p</w:t>
      </w:r>
      <w:r w:rsidR="00953704">
        <w:rPr>
          <w:rFonts w:ascii="Garamond" w:hAnsi="Garamond"/>
          <w:sz w:val="24"/>
          <w:szCs w:val="24"/>
        </w:rPr>
        <w:t xml:space="preserve">ublic-private partnership to </w:t>
      </w:r>
      <w:r>
        <w:rPr>
          <w:rFonts w:ascii="Garamond" w:hAnsi="Garamond"/>
          <w:sz w:val="24"/>
          <w:szCs w:val="24"/>
        </w:rPr>
        <w:t xml:space="preserve">narrow the gap between </w:t>
      </w:r>
      <w:r w:rsidRPr="00F259AE">
        <w:rPr>
          <w:rFonts w:ascii="Garamond" w:hAnsi="Garamond"/>
          <w:sz w:val="24"/>
          <w:szCs w:val="24"/>
        </w:rPr>
        <w:t>public service delivery and public service demand</w:t>
      </w:r>
      <w:r>
        <w:rPr>
          <w:rFonts w:ascii="Garamond" w:hAnsi="Garamond"/>
          <w:sz w:val="24"/>
          <w:szCs w:val="24"/>
        </w:rPr>
        <w:t xml:space="preserve">, thereby </w:t>
      </w:r>
      <w:r w:rsidRPr="00F259AE">
        <w:rPr>
          <w:rFonts w:ascii="Garamond" w:hAnsi="Garamond"/>
          <w:sz w:val="24"/>
          <w:szCs w:val="24"/>
        </w:rPr>
        <w:t>improving the quality of social services</w:t>
      </w:r>
      <w:r w:rsidR="00953704">
        <w:rPr>
          <w:rFonts w:ascii="Garamond" w:hAnsi="Garamond"/>
          <w:sz w:val="24"/>
          <w:szCs w:val="24"/>
        </w:rPr>
        <w:t xml:space="preserve">. </w:t>
      </w:r>
      <w:r w:rsidR="00797D8C">
        <w:rPr>
          <w:rFonts w:ascii="Garamond" w:hAnsi="Garamond"/>
          <w:sz w:val="24"/>
          <w:szCs w:val="24"/>
        </w:rPr>
        <w:t xml:space="preserve">In particular, </w:t>
      </w:r>
      <w:r>
        <w:rPr>
          <w:rFonts w:ascii="Garamond" w:hAnsi="Garamond"/>
          <w:sz w:val="24"/>
          <w:szCs w:val="24"/>
        </w:rPr>
        <w:t xml:space="preserve">the government envisages use of the </w:t>
      </w:r>
      <w:r w:rsidR="00797D8C">
        <w:rPr>
          <w:rFonts w:ascii="Garamond" w:hAnsi="Garamond"/>
          <w:sz w:val="24"/>
          <w:szCs w:val="24"/>
        </w:rPr>
        <w:t>PPP</w:t>
      </w:r>
      <w:r>
        <w:rPr>
          <w:rFonts w:ascii="Garamond" w:hAnsi="Garamond"/>
          <w:sz w:val="24"/>
          <w:szCs w:val="24"/>
        </w:rPr>
        <w:t xml:space="preserve"> model </w:t>
      </w:r>
      <w:r w:rsidR="00797D8C">
        <w:rPr>
          <w:rFonts w:ascii="Garamond" w:hAnsi="Garamond"/>
          <w:sz w:val="24"/>
          <w:szCs w:val="24"/>
        </w:rPr>
        <w:t xml:space="preserve">in selected infrastructure </w:t>
      </w:r>
      <w:r w:rsidR="00953704" w:rsidRPr="00953704">
        <w:rPr>
          <w:rFonts w:ascii="Garamond" w:hAnsi="Garamond"/>
          <w:sz w:val="24"/>
          <w:szCs w:val="24"/>
        </w:rPr>
        <w:t>delivery</w:t>
      </w:r>
      <w:r>
        <w:rPr>
          <w:rFonts w:ascii="Garamond" w:hAnsi="Garamond"/>
          <w:sz w:val="24"/>
          <w:szCs w:val="24"/>
        </w:rPr>
        <w:t xml:space="preserve"> such as </w:t>
      </w:r>
      <w:r w:rsidRPr="00F259AE">
        <w:rPr>
          <w:rFonts w:ascii="Garamond" w:hAnsi="Garamond"/>
          <w:sz w:val="24"/>
          <w:szCs w:val="24"/>
        </w:rPr>
        <w:t xml:space="preserve">roads, railway, </w:t>
      </w:r>
      <w:r w:rsidR="00FC12CC">
        <w:rPr>
          <w:rFonts w:ascii="Garamond" w:hAnsi="Garamond"/>
          <w:sz w:val="24"/>
          <w:szCs w:val="24"/>
        </w:rPr>
        <w:t xml:space="preserve">education, health, </w:t>
      </w:r>
      <w:r w:rsidRPr="00F259AE">
        <w:rPr>
          <w:rFonts w:ascii="Garamond" w:hAnsi="Garamond"/>
          <w:sz w:val="24"/>
          <w:szCs w:val="24"/>
        </w:rPr>
        <w:t>energy, telecommunications</w:t>
      </w:r>
      <w:r w:rsidR="00FC12CC">
        <w:rPr>
          <w:rFonts w:ascii="Garamond" w:hAnsi="Garamond"/>
          <w:sz w:val="24"/>
          <w:szCs w:val="24"/>
        </w:rPr>
        <w:t xml:space="preserve">, </w:t>
      </w:r>
      <w:r w:rsidR="00FC12CC" w:rsidRPr="00F259AE">
        <w:rPr>
          <w:rFonts w:ascii="Garamond" w:hAnsi="Garamond"/>
          <w:sz w:val="24"/>
          <w:szCs w:val="24"/>
        </w:rPr>
        <w:t>and</w:t>
      </w:r>
      <w:r w:rsidRPr="00F259AE">
        <w:rPr>
          <w:rFonts w:ascii="Garamond" w:hAnsi="Garamond"/>
          <w:sz w:val="24"/>
          <w:szCs w:val="24"/>
        </w:rPr>
        <w:t xml:space="preserve"> transport</w:t>
      </w:r>
      <w:r>
        <w:rPr>
          <w:rFonts w:ascii="Garamond" w:hAnsi="Garamond"/>
          <w:sz w:val="24"/>
          <w:szCs w:val="24"/>
        </w:rPr>
        <w:t xml:space="preserve">. </w:t>
      </w:r>
      <w:r w:rsidR="00CC30F5">
        <w:rPr>
          <w:rFonts w:ascii="Garamond" w:hAnsi="Garamond"/>
          <w:sz w:val="24"/>
          <w:szCs w:val="24"/>
        </w:rPr>
        <w:t xml:space="preserve">In the service sector, potential PPP arrangement include, among others, </w:t>
      </w:r>
      <w:r w:rsidR="00CC30F5" w:rsidRPr="00CC30F5">
        <w:rPr>
          <w:rFonts w:ascii="Garamond" w:hAnsi="Garamond"/>
          <w:sz w:val="24"/>
          <w:szCs w:val="24"/>
        </w:rPr>
        <w:t xml:space="preserve">parks  and  recreational  facilities,  </w:t>
      </w:r>
      <w:r w:rsidR="00CC30F5">
        <w:rPr>
          <w:rFonts w:ascii="Garamond" w:hAnsi="Garamond"/>
          <w:sz w:val="24"/>
          <w:szCs w:val="24"/>
        </w:rPr>
        <w:t>information communication and technology (</w:t>
      </w:r>
      <w:r w:rsidR="00CC30F5" w:rsidRPr="00CC30F5">
        <w:rPr>
          <w:rFonts w:ascii="Garamond" w:hAnsi="Garamond"/>
          <w:sz w:val="24"/>
          <w:szCs w:val="24"/>
        </w:rPr>
        <w:t>ICT</w:t>
      </w:r>
      <w:r w:rsidR="00CC30F5">
        <w:rPr>
          <w:rFonts w:ascii="Garamond" w:hAnsi="Garamond"/>
          <w:sz w:val="24"/>
          <w:szCs w:val="24"/>
        </w:rPr>
        <w:t>)</w:t>
      </w:r>
      <w:r w:rsidR="00CC30F5" w:rsidRPr="00CC30F5">
        <w:rPr>
          <w:rFonts w:ascii="Garamond" w:hAnsi="Garamond"/>
          <w:sz w:val="24"/>
          <w:szCs w:val="24"/>
        </w:rPr>
        <w:t xml:space="preserve"> centres, solid waste management and recycling, exhibition centres and uni</w:t>
      </w:r>
      <w:r w:rsidR="00CC30F5">
        <w:rPr>
          <w:rFonts w:ascii="Garamond" w:hAnsi="Garamond"/>
          <w:sz w:val="24"/>
          <w:szCs w:val="24"/>
        </w:rPr>
        <w:t>f</w:t>
      </w:r>
      <w:r w:rsidR="00CC30F5" w:rsidRPr="00CC30F5">
        <w:rPr>
          <w:rFonts w:ascii="Garamond" w:hAnsi="Garamond"/>
          <w:sz w:val="24"/>
          <w:szCs w:val="24"/>
        </w:rPr>
        <w:t>ied billing</w:t>
      </w:r>
      <w:r w:rsidR="00CC30F5">
        <w:rPr>
          <w:rFonts w:ascii="Garamond" w:hAnsi="Garamond"/>
          <w:sz w:val="24"/>
          <w:szCs w:val="24"/>
        </w:rPr>
        <w:t xml:space="preserve">. </w:t>
      </w:r>
      <w:r w:rsidR="006635C7">
        <w:rPr>
          <w:rFonts w:ascii="Garamond" w:hAnsi="Garamond"/>
          <w:sz w:val="24"/>
          <w:szCs w:val="24"/>
        </w:rPr>
        <w:t xml:space="preserve">A similar framework can be applied to agricultural and industrial infrastructure development.  </w:t>
      </w:r>
      <w:r w:rsidR="00927C02">
        <w:rPr>
          <w:rFonts w:ascii="Garamond" w:hAnsi="Garamond"/>
          <w:sz w:val="24"/>
          <w:szCs w:val="24"/>
        </w:rPr>
        <w:t>L</w:t>
      </w:r>
      <w:r w:rsidR="0070004B">
        <w:rPr>
          <w:rFonts w:ascii="Garamond" w:hAnsi="Garamond"/>
          <w:sz w:val="24"/>
          <w:szCs w:val="24"/>
        </w:rPr>
        <w:t>everaging</w:t>
      </w:r>
      <w:r w:rsidR="007A10BE" w:rsidRPr="007A10BE">
        <w:rPr>
          <w:rFonts w:ascii="Garamond" w:hAnsi="Garamond"/>
          <w:sz w:val="24"/>
          <w:szCs w:val="24"/>
        </w:rPr>
        <w:t xml:space="preserve"> non-state resources through partnership with the private sector serves as a</w:t>
      </w:r>
      <w:r w:rsidR="007C33B5">
        <w:rPr>
          <w:rFonts w:ascii="Garamond" w:hAnsi="Garamond"/>
          <w:sz w:val="24"/>
          <w:szCs w:val="24"/>
        </w:rPr>
        <w:t>n</w:t>
      </w:r>
      <w:r w:rsidR="007A10BE" w:rsidRPr="007A10BE">
        <w:rPr>
          <w:rFonts w:ascii="Garamond" w:hAnsi="Garamond"/>
          <w:sz w:val="24"/>
          <w:szCs w:val="24"/>
        </w:rPr>
        <w:t xml:space="preserve"> opportunity for the </w:t>
      </w:r>
      <w:r w:rsidR="007C33B5">
        <w:rPr>
          <w:rFonts w:ascii="Garamond" w:hAnsi="Garamond"/>
          <w:sz w:val="24"/>
          <w:szCs w:val="24"/>
        </w:rPr>
        <w:t>g</w:t>
      </w:r>
      <w:r w:rsidR="007A10BE" w:rsidRPr="007A10BE">
        <w:rPr>
          <w:rFonts w:ascii="Garamond" w:hAnsi="Garamond"/>
          <w:sz w:val="24"/>
          <w:szCs w:val="24"/>
        </w:rPr>
        <w:t>overnment to narrow the gaps caused by resource constraints</w:t>
      </w:r>
      <w:r w:rsidR="008763CC">
        <w:rPr>
          <w:rFonts w:ascii="Garamond" w:hAnsi="Garamond"/>
          <w:sz w:val="24"/>
          <w:szCs w:val="24"/>
        </w:rPr>
        <w:t xml:space="preserve"> (MoH, HEPCAPS2 Project, 2015; Asubonteng, 2011)</w:t>
      </w:r>
      <w:r w:rsidR="007A10BE">
        <w:rPr>
          <w:rFonts w:ascii="Garamond" w:hAnsi="Garamond"/>
          <w:sz w:val="24"/>
          <w:szCs w:val="24"/>
        </w:rPr>
        <w:t>.</w:t>
      </w:r>
      <w:r w:rsidR="009228C3">
        <w:rPr>
          <w:rFonts w:ascii="Garamond" w:hAnsi="Garamond"/>
          <w:sz w:val="24"/>
          <w:szCs w:val="24"/>
        </w:rPr>
        <w:t xml:space="preserve"> For instance, about USD 4 billion capital was raised in three PPP arrangements alone, namely, </w:t>
      </w:r>
      <w:r w:rsidR="009228C3" w:rsidRPr="003874EA">
        <w:rPr>
          <w:rFonts w:ascii="Garamond" w:hAnsi="Garamond"/>
          <w:i/>
          <w:sz w:val="24"/>
          <w:szCs w:val="24"/>
        </w:rPr>
        <w:t>Lehulu</w:t>
      </w:r>
      <w:r w:rsidR="009228C3">
        <w:rPr>
          <w:rFonts w:ascii="Garamond" w:hAnsi="Garamond"/>
          <w:sz w:val="24"/>
          <w:szCs w:val="24"/>
        </w:rPr>
        <w:t>, Addis Ababa Exhibition Center, and geothermal energy</w:t>
      </w:r>
      <w:r w:rsidR="002D00F9">
        <w:rPr>
          <w:rFonts w:ascii="Garamond" w:hAnsi="Garamond"/>
          <w:sz w:val="24"/>
          <w:szCs w:val="24"/>
        </w:rPr>
        <w:t xml:space="preserve"> projects</w:t>
      </w:r>
      <w:r w:rsidR="009228C3">
        <w:rPr>
          <w:rFonts w:ascii="Garamond" w:hAnsi="Garamond"/>
          <w:sz w:val="24"/>
          <w:szCs w:val="24"/>
        </w:rPr>
        <w:t xml:space="preserve">. </w:t>
      </w:r>
    </w:p>
    <w:p w:rsidR="00B03301" w:rsidRDefault="00B03301" w:rsidP="00C26A15">
      <w:pPr>
        <w:autoSpaceDE w:val="0"/>
        <w:autoSpaceDN w:val="0"/>
        <w:adjustRightInd w:val="0"/>
        <w:spacing w:after="0" w:line="240" w:lineRule="auto"/>
        <w:jc w:val="both"/>
        <w:rPr>
          <w:rFonts w:ascii="Garamond" w:hAnsi="Garamond"/>
          <w:sz w:val="24"/>
          <w:szCs w:val="24"/>
        </w:rPr>
      </w:pPr>
    </w:p>
    <w:p w:rsidR="005A7794" w:rsidRDefault="00927C02"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lastRenderedPageBreak/>
        <w:t>Despite the potential of PPP i</w:t>
      </w:r>
      <w:r w:rsidR="009228C3">
        <w:rPr>
          <w:rFonts w:ascii="Garamond" w:hAnsi="Garamond"/>
          <w:sz w:val="24"/>
          <w:szCs w:val="24"/>
        </w:rPr>
        <w:t xml:space="preserve">n Ethiopia, </w:t>
      </w:r>
      <w:r w:rsidR="0070004B">
        <w:rPr>
          <w:rFonts w:ascii="Garamond" w:hAnsi="Garamond"/>
          <w:sz w:val="24"/>
          <w:szCs w:val="24"/>
        </w:rPr>
        <w:t>challenges</w:t>
      </w:r>
      <w:r w:rsidR="009228C3">
        <w:rPr>
          <w:rFonts w:ascii="Garamond" w:hAnsi="Garamond"/>
          <w:sz w:val="24"/>
          <w:szCs w:val="24"/>
        </w:rPr>
        <w:t xml:space="preserve"> </w:t>
      </w:r>
      <w:r>
        <w:rPr>
          <w:rFonts w:ascii="Garamond" w:hAnsi="Garamond"/>
          <w:sz w:val="24"/>
          <w:szCs w:val="24"/>
        </w:rPr>
        <w:t xml:space="preserve">remain </w:t>
      </w:r>
      <w:r w:rsidR="009228C3">
        <w:rPr>
          <w:rFonts w:ascii="Garamond" w:hAnsi="Garamond"/>
          <w:sz w:val="24"/>
          <w:szCs w:val="24"/>
        </w:rPr>
        <w:t xml:space="preserve">in </w:t>
      </w:r>
      <w:r w:rsidR="0070004B">
        <w:rPr>
          <w:rFonts w:ascii="Garamond" w:hAnsi="Garamond"/>
          <w:sz w:val="24"/>
          <w:szCs w:val="24"/>
        </w:rPr>
        <w:t>implementing PPP includ</w:t>
      </w:r>
      <w:r w:rsidR="009228C3">
        <w:rPr>
          <w:rFonts w:ascii="Garamond" w:hAnsi="Garamond"/>
          <w:sz w:val="24"/>
          <w:szCs w:val="24"/>
        </w:rPr>
        <w:t>ing</w:t>
      </w:r>
      <w:r w:rsidR="00085EC0">
        <w:rPr>
          <w:rFonts w:ascii="Garamond" w:hAnsi="Garamond"/>
          <w:sz w:val="24"/>
          <w:szCs w:val="24"/>
        </w:rPr>
        <w:t>,</w:t>
      </w:r>
      <w:r w:rsidR="0070004B">
        <w:rPr>
          <w:rFonts w:ascii="Garamond" w:hAnsi="Garamond"/>
          <w:sz w:val="24"/>
          <w:szCs w:val="24"/>
        </w:rPr>
        <w:t xml:space="preserve"> among others</w:t>
      </w:r>
      <w:r w:rsidR="00085EC0">
        <w:rPr>
          <w:rFonts w:ascii="Garamond" w:hAnsi="Garamond"/>
          <w:sz w:val="24"/>
          <w:szCs w:val="24"/>
        </w:rPr>
        <w:t>,</w:t>
      </w:r>
      <w:r w:rsidR="0070004B">
        <w:rPr>
          <w:rFonts w:ascii="Garamond" w:hAnsi="Garamond"/>
          <w:sz w:val="24"/>
          <w:szCs w:val="24"/>
        </w:rPr>
        <w:t xml:space="preserve"> </w:t>
      </w:r>
      <w:r w:rsidR="00E62B2C">
        <w:rPr>
          <w:rFonts w:ascii="Garamond" w:hAnsi="Garamond"/>
          <w:sz w:val="24"/>
          <w:szCs w:val="24"/>
        </w:rPr>
        <w:t>weak technical and managerial capacity to execute PPP contractual arrangements, inadequate awareness about PPP, lack of specific legal frameworks</w:t>
      </w:r>
      <w:r w:rsidR="008763CC">
        <w:rPr>
          <w:rFonts w:ascii="Garamond" w:hAnsi="Garamond"/>
          <w:sz w:val="24"/>
          <w:szCs w:val="24"/>
        </w:rPr>
        <w:t>, l</w:t>
      </w:r>
      <w:r w:rsidR="008763CC" w:rsidRPr="008763CC">
        <w:rPr>
          <w:rFonts w:ascii="Garamond" w:hAnsi="Garamond"/>
          <w:sz w:val="24"/>
          <w:szCs w:val="24"/>
        </w:rPr>
        <w:t>ack of a standardized PPP operating procedure</w:t>
      </w:r>
      <w:r w:rsidR="00E62B2C">
        <w:rPr>
          <w:rFonts w:ascii="Garamond" w:hAnsi="Garamond"/>
          <w:sz w:val="24"/>
          <w:szCs w:val="24"/>
        </w:rPr>
        <w:t xml:space="preserve">, weak contract negotiation capacity, and financial constraints.  </w:t>
      </w:r>
    </w:p>
    <w:p w:rsidR="009B42ED" w:rsidRDefault="009B42ED" w:rsidP="00C26A15">
      <w:pPr>
        <w:autoSpaceDE w:val="0"/>
        <w:autoSpaceDN w:val="0"/>
        <w:adjustRightInd w:val="0"/>
        <w:spacing w:after="0" w:line="240" w:lineRule="auto"/>
        <w:jc w:val="both"/>
        <w:rPr>
          <w:rFonts w:ascii="Garamond" w:hAnsi="Garamond"/>
          <w:sz w:val="24"/>
          <w:szCs w:val="24"/>
        </w:rPr>
      </w:pPr>
    </w:p>
    <w:p w:rsidR="00A753EC" w:rsidRDefault="008F4BD6"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Discussions with stakeholders indicate that efforts are being made to establish PPP, with draft legal framework for PPP establishment has been prepared, with the Ministry of Finance and Economic Cooperation taking the lead. The finalization of this legal framework </w:t>
      </w:r>
      <w:r w:rsidR="000262E2">
        <w:rPr>
          <w:rFonts w:ascii="Garamond" w:hAnsi="Garamond"/>
          <w:sz w:val="24"/>
          <w:szCs w:val="24"/>
        </w:rPr>
        <w:t xml:space="preserve">helps establish a dedicated and functional institution for nurturing PPP </w:t>
      </w:r>
      <w:r>
        <w:rPr>
          <w:rFonts w:ascii="Garamond" w:hAnsi="Garamond"/>
          <w:sz w:val="24"/>
          <w:szCs w:val="24"/>
        </w:rPr>
        <w:t xml:space="preserve">to mobilize resources from the private sector. However, </w:t>
      </w:r>
      <w:r w:rsidR="009B42ED">
        <w:rPr>
          <w:rFonts w:ascii="Garamond" w:hAnsi="Garamond"/>
          <w:sz w:val="24"/>
          <w:szCs w:val="24"/>
        </w:rPr>
        <w:t xml:space="preserve">this needs to be followed by </w:t>
      </w:r>
      <w:r>
        <w:rPr>
          <w:rFonts w:ascii="Garamond" w:hAnsi="Garamond"/>
          <w:sz w:val="24"/>
          <w:szCs w:val="24"/>
        </w:rPr>
        <w:t xml:space="preserve">capacity building </w:t>
      </w:r>
      <w:r w:rsidR="006438CF">
        <w:rPr>
          <w:rFonts w:ascii="Garamond" w:hAnsi="Garamond"/>
          <w:sz w:val="24"/>
          <w:szCs w:val="24"/>
        </w:rPr>
        <w:t xml:space="preserve">programme </w:t>
      </w:r>
      <w:r w:rsidR="009B42ED">
        <w:rPr>
          <w:rFonts w:ascii="Garamond" w:hAnsi="Garamond"/>
          <w:sz w:val="24"/>
          <w:szCs w:val="24"/>
        </w:rPr>
        <w:t xml:space="preserve">for public and private sector </w:t>
      </w:r>
      <w:r>
        <w:rPr>
          <w:rFonts w:ascii="Garamond" w:hAnsi="Garamond"/>
          <w:sz w:val="24"/>
          <w:szCs w:val="24"/>
        </w:rPr>
        <w:t xml:space="preserve">to </w:t>
      </w:r>
      <w:r w:rsidR="009B42ED">
        <w:rPr>
          <w:rFonts w:ascii="Garamond" w:hAnsi="Garamond"/>
          <w:sz w:val="24"/>
          <w:szCs w:val="24"/>
        </w:rPr>
        <w:t>s</w:t>
      </w:r>
      <w:r>
        <w:rPr>
          <w:rFonts w:ascii="Garamond" w:hAnsi="Garamond"/>
          <w:sz w:val="24"/>
          <w:szCs w:val="24"/>
        </w:rPr>
        <w:t>uccessfully implement the PPP framework.</w:t>
      </w:r>
    </w:p>
    <w:p w:rsidR="00A3057B" w:rsidRPr="00352D84" w:rsidRDefault="00A3057B" w:rsidP="00C26A15">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b/>
        </w:rPr>
      </w:pPr>
      <w:r w:rsidRPr="00352D84">
        <w:rPr>
          <w:rFonts w:ascii="Garamond" w:hAnsi="Garamond"/>
          <w:b/>
        </w:rPr>
        <w:t xml:space="preserve">Box </w:t>
      </w:r>
      <w:r w:rsidR="0079722D">
        <w:rPr>
          <w:rFonts w:ascii="Garamond" w:hAnsi="Garamond"/>
          <w:b/>
        </w:rPr>
        <w:t>8</w:t>
      </w:r>
      <w:r w:rsidRPr="00352D84">
        <w:rPr>
          <w:rFonts w:ascii="Garamond" w:hAnsi="Garamond"/>
          <w:b/>
        </w:rPr>
        <w:t xml:space="preserve">: Ethiopia’s experience in PPP in the health sector </w:t>
      </w:r>
    </w:p>
    <w:p w:rsidR="001145A1" w:rsidRPr="00352D84" w:rsidRDefault="00C2301E" w:rsidP="00C26A15">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rPr>
      </w:pPr>
      <w:r w:rsidRPr="00352D84">
        <w:rPr>
          <w:rFonts w:ascii="Garamond" w:hAnsi="Garamond"/>
        </w:rPr>
        <w:t xml:space="preserve">Different models of PPP exist in the health sector including contracting, leasing, franchising, and social marketing. </w:t>
      </w:r>
      <w:r w:rsidR="00A25BC7" w:rsidRPr="00352D84">
        <w:rPr>
          <w:rFonts w:ascii="Garamond" w:hAnsi="Garamond"/>
        </w:rPr>
        <w:t xml:space="preserve">In Ethiopia, the PPP arrangement </w:t>
      </w:r>
      <w:r w:rsidR="00DE6298" w:rsidRPr="00352D84">
        <w:rPr>
          <w:rFonts w:ascii="Garamond" w:hAnsi="Garamond"/>
        </w:rPr>
        <w:t>financing, service delivery, capacity building, participation in policy, guideline</w:t>
      </w:r>
      <w:r w:rsidR="009F3071" w:rsidRPr="00352D84">
        <w:rPr>
          <w:rFonts w:ascii="Garamond" w:hAnsi="Garamond"/>
        </w:rPr>
        <w:t>,</w:t>
      </w:r>
      <w:r w:rsidR="00DE6298" w:rsidRPr="00352D84">
        <w:rPr>
          <w:rFonts w:ascii="Garamond" w:hAnsi="Garamond"/>
        </w:rPr>
        <w:t xml:space="preserve"> and standards development and support in the formation of health professional associations. Examples of existing public</w:t>
      </w:r>
      <w:r w:rsidR="00436289" w:rsidRPr="00352D84">
        <w:rPr>
          <w:rFonts w:ascii="Garamond" w:hAnsi="Garamond"/>
        </w:rPr>
        <w:t>-</w:t>
      </w:r>
      <w:r w:rsidR="00DE6298" w:rsidRPr="00352D84">
        <w:rPr>
          <w:rFonts w:ascii="Garamond" w:hAnsi="Garamond"/>
        </w:rPr>
        <w:t>private</w:t>
      </w:r>
      <w:r w:rsidR="001145A1" w:rsidRPr="00352D84">
        <w:rPr>
          <w:rFonts w:ascii="Garamond" w:hAnsi="Garamond"/>
        </w:rPr>
        <w:t xml:space="preserve"> (profit and nonprofit organizations)</w:t>
      </w:r>
      <w:r w:rsidR="00DE6298" w:rsidRPr="00352D84">
        <w:rPr>
          <w:rFonts w:ascii="Garamond" w:hAnsi="Garamond"/>
        </w:rPr>
        <w:t xml:space="preserve"> collaboration </w:t>
      </w:r>
      <w:r w:rsidR="00436289" w:rsidRPr="00352D84">
        <w:rPr>
          <w:rFonts w:ascii="Garamond" w:hAnsi="Garamond"/>
        </w:rPr>
        <w:t>include</w:t>
      </w:r>
      <w:r w:rsidR="001145A1" w:rsidRPr="00352D84">
        <w:rPr>
          <w:rFonts w:ascii="Garamond" w:hAnsi="Garamond"/>
        </w:rPr>
        <w:t xml:space="preserve"> among others</w:t>
      </w:r>
      <w:r w:rsidR="00436289" w:rsidRPr="00352D84">
        <w:rPr>
          <w:rFonts w:ascii="Garamond" w:hAnsi="Garamond"/>
        </w:rPr>
        <w:t xml:space="preserve"> in</w:t>
      </w:r>
      <w:r w:rsidR="00DE6298" w:rsidRPr="00352D84">
        <w:rPr>
          <w:rFonts w:ascii="Garamond" w:hAnsi="Garamond"/>
        </w:rPr>
        <w:t xml:space="preserve"> the delivery of comprehensive </w:t>
      </w:r>
      <w:r w:rsidR="001145A1" w:rsidRPr="00352D84">
        <w:rPr>
          <w:rFonts w:ascii="Garamond" w:hAnsi="Garamond"/>
        </w:rPr>
        <w:t>human immunodeficiency virus (HIV)/Antiretroviral therapy (ART) and Tuberculosis (TB)</w:t>
      </w:r>
      <w:r w:rsidR="00DE6298" w:rsidRPr="00352D84">
        <w:rPr>
          <w:rFonts w:ascii="Garamond" w:hAnsi="Garamond"/>
        </w:rPr>
        <w:t>.</w:t>
      </w:r>
      <w:r w:rsidR="00436289" w:rsidRPr="00352D84">
        <w:rPr>
          <w:rFonts w:ascii="Garamond" w:hAnsi="Garamond"/>
        </w:rPr>
        <w:t xml:space="preserve"> Contracting partnerships </w:t>
      </w:r>
      <w:r w:rsidR="001145A1" w:rsidRPr="00352D84">
        <w:rPr>
          <w:rFonts w:ascii="Garamond" w:hAnsi="Garamond"/>
        </w:rPr>
        <w:t>f</w:t>
      </w:r>
      <w:r w:rsidR="00436289" w:rsidRPr="00352D84">
        <w:rPr>
          <w:rFonts w:ascii="Garamond" w:hAnsi="Garamond"/>
        </w:rPr>
        <w:t xml:space="preserve">or the provision of </w:t>
      </w:r>
      <w:r w:rsidR="001145A1" w:rsidRPr="00352D84">
        <w:rPr>
          <w:rFonts w:ascii="Garamond" w:hAnsi="Garamond"/>
        </w:rPr>
        <w:t>non-clinical services are also notable. Such examples include Mizan Aman Hospital’s outsourcing of daily cash collection and patient registration) and clinical diagnostic services (e.g. Debre Berhan hospital outsourcing of advanced clinical laboratory services)</w:t>
      </w:r>
      <w:r w:rsidR="004F5DE5" w:rsidRPr="00352D84">
        <w:rPr>
          <w:rFonts w:ascii="Garamond" w:hAnsi="Garamond"/>
        </w:rPr>
        <w:t xml:space="preserve">. These partnerships demonstrate </w:t>
      </w:r>
      <w:r w:rsidR="001145A1" w:rsidRPr="00352D84">
        <w:rPr>
          <w:rFonts w:ascii="Garamond" w:hAnsi="Garamond"/>
        </w:rPr>
        <w:t>examples of outsourcing practices by public hospitals.</w:t>
      </w:r>
    </w:p>
    <w:p w:rsidR="001145A1" w:rsidRPr="00352D84" w:rsidRDefault="001145A1" w:rsidP="00C26A15">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rPr>
      </w:pPr>
      <w:r w:rsidRPr="00352D84">
        <w:rPr>
          <w:rFonts w:ascii="Garamond" w:hAnsi="Garamond"/>
        </w:rPr>
        <w:t xml:space="preserve">Infrastructure-based hospital PPP arrangements </w:t>
      </w:r>
      <w:r w:rsidR="00813D9B" w:rsidRPr="00352D84">
        <w:rPr>
          <w:rFonts w:ascii="Garamond" w:hAnsi="Garamond"/>
        </w:rPr>
        <w:t xml:space="preserve">refers to </w:t>
      </w:r>
      <w:r w:rsidRPr="00352D84">
        <w:rPr>
          <w:rFonts w:ascii="Garamond" w:hAnsi="Garamond"/>
        </w:rPr>
        <w:t>the establishment of specialized medical care services (</w:t>
      </w:r>
      <w:r w:rsidR="00813D9B" w:rsidRPr="00352D84">
        <w:rPr>
          <w:rFonts w:ascii="Garamond" w:hAnsi="Garamond"/>
        </w:rPr>
        <w:t xml:space="preserve">e.g. </w:t>
      </w:r>
      <w:r w:rsidRPr="00352D84">
        <w:rPr>
          <w:rFonts w:ascii="Garamond" w:hAnsi="Garamond"/>
        </w:rPr>
        <w:t xml:space="preserve">Meles Zenawi Dialysis Center in Mekelle) and eye care (OIC eye care center at Zewditu Memorial Hospital in Addis Ababa) within public hospitals were found to create opportunity for </w:t>
      </w:r>
      <w:r w:rsidR="00813D9B" w:rsidRPr="00352D84">
        <w:rPr>
          <w:rFonts w:ascii="Garamond" w:hAnsi="Garamond"/>
        </w:rPr>
        <w:t>providing services</w:t>
      </w:r>
      <w:r w:rsidRPr="00352D84">
        <w:rPr>
          <w:rFonts w:ascii="Garamond" w:hAnsi="Garamond"/>
        </w:rPr>
        <w:t xml:space="preserve">. </w:t>
      </w:r>
      <w:r w:rsidR="004F5DE5" w:rsidRPr="00352D84">
        <w:rPr>
          <w:rFonts w:ascii="Garamond" w:hAnsi="Garamond"/>
        </w:rPr>
        <w:t>PPP in s</w:t>
      </w:r>
      <w:r w:rsidRPr="00352D84">
        <w:rPr>
          <w:rFonts w:ascii="Garamond" w:hAnsi="Garamond"/>
        </w:rPr>
        <w:t>ocial marketing (</w:t>
      </w:r>
      <w:r w:rsidR="00BC38E6" w:rsidRPr="00352D84">
        <w:rPr>
          <w:rFonts w:ascii="Garamond" w:hAnsi="Garamond"/>
        </w:rPr>
        <w:t>e.g. F</w:t>
      </w:r>
      <w:r w:rsidRPr="00352D84">
        <w:rPr>
          <w:rFonts w:ascii="Garamond" w:hAnsi="Garamond"/>
        </w:rPr>
        <w:t>amily planning and child health commodities by DKT</w:t>
      </w:r>
      <w:r w:rsidR="00BC38E6" w:rsidRPr="00352D84">
        <w:rPr>
          <w:rFonts w:ascii="Garamond" w:hAnsi="Garamond"/>
        </w:rPr>
        <w:t>-</w:t>
      </w:r>
      <w:r w:rsidRPr="00352D84">
        <w:rPr>
          <w:rFonts w:ascii="Garamond" w:hAnsi="Garamond"/>
        </w:rPr>
        <w:t xml:space="preserve">Ethiopia) </w:t>
      </w:r>
      <w:r w:rsidR="00BC38E6" w:rsidRPr="00352D84">
        <w:rPr>
          <w:rFonts w:ascii="Garamond" w:hAnsi="Garamond"/>
        </w:rPr>
        <w:t xml:space="preserve">and franchising (Marie Stopes “BlueStar”) also </w:t>
      </w:r>
      <w:r w:rsidR="004F5DE5" w:rsidRPr="00352D84">
        <w:rPr>
          <w:rFonts w:ascii="Garamond" w:hAnsi="Garamond"/>
        </w:rPr>
        <w:t xml:space="preserve">improve </w:t>
      </w:r>
      <w:r w:rsidR="00BC38E6" w:rsidRPr="00352D84">
        <w:rPr>
          <w:rFonts w:ascii="Garamond" w:hAnsi="Garamond"/>
        </w:rPr>
        <w:t>access to sexual and reproductive health services</w:t>
      </w:r>
      <w:r w:rsidR="004F5DE5" w:rsidRPr="00352D84">
        <w:rPr>
          <w:rFonts w:ascii="Garamond" w:hAnsi="Garamond"/>
        </w:rPr>
        <w:t>.</w:t>
      </w:r>
    </w:p>
    <w:p w:rsidR="004F5DE5" w:rsidRPr="00352D84" w:rsidRDefault="004F5DE5" w:rsidP="00C26A15">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rPr>
      </w:pPr>
      <w:r w:rsidRPr="00352D84">
        <w:rPr>
          <w:rFonts w:ascii="Garamond" w:hAnsi="Garamond"/>
        </w:rPr>
        <w:t>Source: MoH, HEPCAPS2 Project, 2015</w:t>
      </w:r>
    </w:p>
    <w:p w:rsidR="009B5B11" w:rsidRDefault="009B5B11" w:rsidP="00C26A15">
      <w:pPr>
        <w:pStyle w:val="Heading3"/>
        <w:spacing w:before="0" w:line="240" w:lineRule="auto"/>
        <w:jc w:val="both"/>
        <w:rPr>
          <w:rFonts w:ascii="Garamond" w:hAnsi="Garamond"/>
          <w:b/>
        </w:rPr>
      </w:pPr>
    </w:p>
    <w:p w:rsidR="0003034B" w:rsidRDefault="00601A22" w:rsidP="00601A22">
      <w:pPr>
        <w:pStyle w:val="Heading2"/>
        <w:rPr>
          <w:rFonts w:ascii="Garamond" w:eastAsia="Times New Roman" w:hAnsi="Garamond"/>
          <w:b/>
          <w:sz w:val="24"/>
          <w:szCs w:val="24"/>
        </w:rPr>
      </w:pPr>
      <w:bookmarkStart w:id="65" w:name="_Toc486782272"/>
      <w:r w:rsidRPr="00601A22">
        <w:rPr>
          <w:rFonts w:ascii="Garamond" w:hAnsi="Garamond"/>
          <w:b/>
          <w:sz w:val="24"/>
          <w:szCs w:val="24"/>
        </w:rPr>
        <w:t xml:space="preserve">5.4 </w:t>
      </w:r>
      <w:r w:rsidR="007F1954" w:rsidRPr="00601A22">
        <w:rPr>
          <w:rFonts w:ascii="Garamond" w:eastAsia="Times New Roman" w:hAnsi="Garamond"/>
          <w:b/>
          <w:sz w:val="24"/>
          <w:szCs w:val="24"/>
        </w:rPr>
        <w:t>Inclusive Business Finance</w:t>
      </w:r>
      <w:bookmarkEnd w:id="65"/>
    </w:p>
    <w:p w:rsidR="00A070C6" w:rsidRDefault="0003034B" w:rsidP="00A070C6">
      <w:pPr>
        <w:autoSpaceDE w:val="0"/>
        <w:autoSpaceDN w:val="0"/>
        <w:adjustRightInd w:val="0"/>
        <w:spacing w:after="0" w:line="240" w:lineRule="auto"/>
        <w:jc w:val="both"/>
        <w:rPr>
          <w:rFonts w:ascii="Garamond" w:eastAsiaTheme="minorHAnsi" w:hAnsi="Garamond" w:cs="MyriadPro-Regular"/>
          <w:sz w:val="24"/>
          <w:szCs w:val="24"/>
          <w:lang w:val="en-GB"/>
        </w:rPr>
      </w:pPr>
      <w:r w:rsidRPr="00EE29EC">
        <w:rPr>
          <w:rFonts w:ascii="Garamond" w:hAnsi="Garamond"/>
          <w:sz w:val="24"/>
          <w:szCs w:val="24"/>
        </w:rPr>
        <w:t>Inclusive business finance refers to capital that supports the creation, growth, and sustainability of entrepreneurs, small holders, and small enterprises that were previously excluded from the financial markets.</w:t>
      </w:r>
      <w:r w:rsidR="00EE29EC">
        <w:rPr>
          <w:rFonts w:ascii="Garamond" w:hAnsi="Garamond"/>
          <w:sz w:val="24"/>
          <w:szCs w:val="24"/>
        </w:rPr>
        <w:t xml:space="preserve"> </w:t>
      </w:r>
      <w:r w:rsidR="00EE29EC" w:rsidRPr="00EE29EC">
        <w:rPr>
          <w:rFonts w:ascii="Garamond" w:eastAsiaTheme="minorHAnsi" w:hAnsi="Garamond" w:cs="MyriadPro-Regular"/>
          <w:sz w:val="24"/>
          <w:szCs w:val="24"/>
          <w:lang w:val="en-GB"/>
        </w:rPr>
        <w:t>There are many microfinance institutions, with a significant total volume of lending. Non-bank financial institutions are relatively modest players.</w:t>
      </w:r>
      <w:r w:rsidR="00537FD5">
        <w:rPr>
          <w:rFonts w:ascii="Garamond" w:eastAsiaTheme="minorHAnsi" w:hAnsi="Garamond" w:cs="MyriadPro-Regular"/>
          <w:sz w:val="24"/>
          <w:szCs w:val="24"/>
          <w:lang w:val="en-GB"/>
        </w:rPr>
        <w:t xml:space="preserve"> </w:t>
      </w:r>
      <w:r w:rsidR="00A070C6" w:rsidRPr="00A070C6">
        <w:rPr>
          <w:rFonts w:ascii="Garamond" w:eastAsiaTheme="minorHAnsi" w:hAnsi="Garamond" w:cs="MyriadPro-Regular"/>
          <w:sz w:val="24"/>
          <w:szCs w:val="24"/>
          <w:lang w:val="en-GB"/>
        </w:rPr>
        <w:t xml:space="preserve">The economic importance of non-formal sectors and </w:t>
      </w:r>
      <w:r w:rsidR="00A070C6">
        <w:rPr>
          <w:rFonts w:ascii="Garamond" w:eastAsiaTheme="minorHAnsi" w:hAnsi="Garamond" w:cs="MyriadPro-Regular"/>
          <w:sz w:val="24"/>
          <w:szCs w:val="24"/>
          <w:lang w:val="en-GB"/>
        </w:rPr>
        <w:t xml:space="preserve">small and </w:t>
      </w:r>
      <w:r w:rsidR="00A070C6" w:rsidRPr="00A070C6">
        <w:rPr>
          <w:rFonts w:ascii="Garamond" w:eastAsiaTheme="minorHAnsi" w:hAnsi="Garamond" w:cs="MyriadPro-Regular"/>
          <w:sz w:val="24"/>
          <w:szCs w:val="24"/>
          <w:lang w:val="en-GB"/>
        </w:rPr>
        <w:t xml:space="preserve">micro enterprises </w:t>
      </w:r>
      <w:r w:rsidR="00A070C6">
        <w:rPr>
          <w:rFonts w:ascii="Garamond" w:eastAsiaTheme="minorHAnsi" w:hAnsi="Garamond" w:cs="MyriadPro-Regular"/>
          <w:sz w:val="24"/>
          <w:szCs w:val="24"/>
          <w:lang w:val="en-GB"/>
        </w:rPr>
        <w:t>SMEs</w:t>
      </w:r>
      <w:r w:rsidR="00A070C6" w:rsidRPr="00A070C6">
        <w:rPr>
          <w:rFonts w:ascii="Garamond" w:eastAsiaTheme="minorHAnsi" w:hAnsi="Garamond" w:cs="MyriadPro-Regular"/>
          <w:sz w:val="24"/>
          <w:szCs w:val="24"/>
          <w:lang w:val="en-GB"/>
        </w:rPr>
        <w:t>)</w:t>
      </w:r>
      <w:r w:rsidR="00A070C6">
        <w:rPr>
          <w:rFonts w:ascii="Garamond" w:eastAsiaTheme="minorHAnsi" w:hAnsi="Garamond" w:cs="MyriadPro-Regular"/>
          <w:sz w:val="24"/>
          <w:szCs w:val="24"/>
          <w:lang w:val="en-GB"/>
        </w:rPr>
        <w:t xml:space="preserve"> is</w:t>
      </w:r>
      <w:r w:rsidR="00A070C6" w:rsidRPr="00A070C6">
        <w:rPr>
          <w:rFonts w:ascii="Garamond" w:eastAsiaTheme="minorHAnsi" w:hAnsi="Garamond" w:cs="MyriadPro-Regular"/>
          <w:sz w:val="24"/>
          <w:szCs w:val="24"/>
          <w:lang w:val="en-GB"/>
        </w:rPr>
        <w:t xml:space="preserve"> well recognised in </w:t>
      </w:r>
      <w:r w:rsidR="00A070C6">
        <w:rPr>
          <w:rFonts w:ascii="Garamond" w:eastAsiaTheme="minorHAnsi" w:hAnsi="Garamond" w:cs="MyriadPro-Regular"/>
          <w:sz w:val="24"/>
          <w:szCs w:val="24"/>
          <w:lang w:val="en-GB"/>
        </w:rPr>
        <w:t>Ethiopia</w:t>
      </w:r>
      <w:r w:rsidR="00A070C6" w:rsidRPr="00A070C6">
        <w:rPr>
          <w:rFonts w:ascii="Garamond" w:eastAsiaTheme="minorHAnsi" w:hAnsi="Garamond" w:cs="MyriadPro-Regular"/>
          <w:sz w:val="24"/>
          <w:szCs w:val="24"/>
          <w:lang w:val="en-GB"/>
        </w:rPr>
        <w:t>. The SME financing is receiving increased attention</w:t>
      </w:r>
      <w:r w:rsidR="00A070C6">
        <w:rPr>
          <w:rFonts w:ascii="Garamond" w:eastAsiaTheme="minorHAnsi" w:hAnsi="Garamond" w:cs="MyriadPro-Regular"/>
          <w:sz w:val="24"/>
          <w:szCs w:val="24"/>
          <w:lang w:val="en-GB"/>
        </w:rPr>
        <w:t xml:space="preserve"> </w:t>
      </w:r>
      <w:r w:rsidR="00A070C6" w:rsidRPr="00A070C6">
        <w:rPr>
          <w:rFonts w:ascii="Garamond" w:eastAsiaTheme="minorHAnsi" w:hAnsi="Garamond" w:cs="MyriadPro-Regular"/>
          <w:sz w:val="24"/>
          <w:szCs w:val="24"/>
          <w:lang w:val="en-GB"/>
        </w:rPr>
        <w:t>given the importance of small and medium enterprises (SMEs) in the economy, especially in</w:t>
      </w:r>
      <w:r w:rsidR="00A070C6">
        <w:rPr>
          <w:rFonts w:ascii="Garamond" w:eastAsiaTheme="minorHAnsi" w:hAnsi="Garamond" w:cs="MyriadPro-Regular"/>
          <w:sz w:val="24"/>
          <w:szCs w:val="24"/>
          <w:lang w:val="en-GB"/>
        </w:rPr>
        <w:t xml:space="preserve"> </w:t>
      </w:r>
      <w:r w:rsidR="00A070C6" w:rsidRPr="00A070C6">
        <w:rPr>
          <w:rFonts w:ascii="Garamond" w:eastAsiaTheme="minorHAnsi" w:hAnsi="Garamond" w:cs="MyriadPro-Regular"/>
          <w:sz w:val="24"/>
          <w:szCs w:val="24"/>
          <w:lang w:val="en-GB"/>
        </w:rPr>
        <w:t>employment generation</w:t>
      </w:r>
      <w:r w:rsidR="00A070C6">
        <w:rPr>
          <w:rFonts w:ascii="Garamond" w:eastAsiaTheme="minorHAnsi" w:hAnsi="Garamond" w:cs="MyriadPro-Regular"/>
          <w:sz w:val="24"/>
          <w:szCs w:val="24"/>
          <w:lang w:val="en-GB"/>
        </w:rPr>
        <w:t xml:space="preserve">. </w:t>
      </w:r>
    </w:p>
    <w:p w:rsidR="004B5375" w:rsidRDefault="00CD3DDB" w:rsidP="00CD3DDB">
      <w:pPr>
        <w:autoSpaceDE w:val="0"/>
        <w:autoSpaceDN w:val="0"/>
        <w:adjustRightInd w:val="0"/>
        <w:spacing w:after="0" w:line="240" w:lineRule="auto"/>
        <w:jc w:val="both"/>
        <w:rPr>
          <w:rFonts w:ascii="Garamond" w:hAnsi="Garamond"/>
        </w:rPr>
      </w:pPr>
      <w:r w:rsidRPr="00194BFD">
        <w:rPr>
          <w:rFonts w:ascii="Garamond" w:hAnsi="Garamond" w:cs="Minion Pro"/>
          <w:color w:val="000000"/>
          <w:sz w:val="24"/>
          <w:szCs w:val="24"/>
        </w:rPr>
        <w:t xml:space="preserve">The AAAA acknowledges the centrality of full and productive employment and decent work for all as a central objective of development strategies. </w:t>
      </w:r>
      <w:r>
        <w:rPr>
          <w:rFonts w:ascii="Garamond" w:hAnsi="Garamond" w:cs="Minion Pro"/>
          <w:color w:val="000000"/>
          <w:sz w:val="24"/>
          <w:szCs w:val="24"/>
        </w:rPr>
        <w:t>For sustainable g</w:t>
      </w:r>
      <w:r w:rsidRPr="00194BFD">
        <w:rPr>
          <w:rFonts w:ascii="Garamond" w:hAnsi="Garamond"/>
          <w:sz w:val="24"/>
          <w:szCs w:val="24"/>
        </w:rPr>
        <w:t>rowth</w:t>
      </w:r>
      <w:r>
        <w:rPr>
          <w:rFonts w:ascii="Garamond" w:hAnsi="Garamond"/>
          <w:sz w:val="24"/>
          <w:szCs w:val="24"/>
        </w:rPr>
        <w:t xml:space="preserve"> to be </w:t>
      </w:r>
      <w:r w:rsidRPr="00194BFD">
        <w:rPr>
          <w:rFonts w:ascii="Garamond" w:hAnsi="Garamond"/>
          <w:sz w:val="24"/>
          <w:szCs w:val="24"/>
        </w:rPr>
        <w:t>inclusive and job-rich, it</w:t>
      </w:r>
      <w:r>
        <w:rPr>
          <w:rFonts w:ascii="Garamond" w:hAnsi="Garamond"/>
          <w:sz w:val="24"/>
          <w:szCs w:val="24"/>
        </w:rPr>
        <w:t xml:space="preserve"> needs to be </w:t>
      </w:r>
      <w:r w:rsidRPr="00194BFD">
        <w:rPr>
          <w:rFonts w:ascii="Garamond" w:hAnsi="Garamond"/>
          <w:sz w:val="24"/>
          <w:szCs w:val="24"/>
        </w:rPr>
        <w:t>support</w:t>
      </w:r>
      <w:r>
        <w:rPr>
          <w:rFonts w:ascii="Garamond" w:hAnsi="Garamond"/>
          <w:sz w:val="24"/>
          <w:szCs w:val="24"/>
        </w:rPr>
        <w:t xml:space="preserve">ed by </w:t>
      </w:r>
      <w:r w:rsidRPr="00194BFD">
        <w:rPr>
          <w:rFonts w:ascii="Garamond" w:hAnsi="Garamond"/>
          <w:sz w:val="24"/>
          <w:szCs w:val="24"/>
        </w:rPr>
        <w:t>a comprehensive and coordinated approach which places employment promotion as the priority in national economic and social development strategies</w:t>
      </w:r>
      <w:r>
        <w:rPr>
          <w:rFonts w:ascii="Garamond" w:hAnsi="Garamond"/>
          <w:sz w:val="24"/>
          <w:szCs w:val="24"/>
        </w:rPr>
        <w:t xml:space="preserve">. This will enhance </w:t>
      </w:r>
      <w:r w:rsidRPr="00194BFD">
        <w:rPr>
          <w:rFonts w:ascii="Garamond" w:hAnsi="Garamond"/>
          <w:sz w:val="24"/>
          <w:szCs w:val="24"/>
        </w:rPr>
        <w:t>employability, promot</w:t>
      </w:r>
      <w:r>
        <w:rPr>
          <w:rFonts w:ascii="Garamond" w:hAnsi="Garamond"/>
          <w:sz w:val="24"/>
          <w:szCs w:val="24"/>
        </w:rPr>
        <w:t>e</w:t>
      </w:r>
      <w:r w:rsidRPr="00194BFD">
        <w:rPr>
          <w:rFonts w:ascii="Garamond" w:hAnsi="Garamond"/>
          <w:sz w:val="24"/>
          <w:szCs w:val="24"/>
        </w:rPr>
        <w:t xml:space="preserve"> quality apprenticeship and entrepreneurship through practical actions (SDG 10; AAAA paras 16, 37</w:t>
      </w:r>
      <w:r>
        <w:rPr>
          <w:rFonts w:ascii="Garamond" w:hAnsi="Garamond"/>
          <w:sz w:val="24"/>
          <w:szCs w:val="24"/>
        </w:rPr>
        <w:t xml:space="preserve"> and</w:t>
      </w:r>
      <w:r w:rsidRPr="00194BFD">
        <w:rPr>
          <w:rFonts w:ascii="Garamond" w:hAnsi="Garamond"/>
          <w:sz w:val="24"/>
          <w:szCs w:val="24"/>
        </w:rPr>
        <w:t xml:space="preserve"> 41).</w:t>
      </w:r>
      <w:r w:rsidRPr="00C201CF">
        <w:rPr>
          <w:rFonts w:ascii="Garamond" w:hAnsi="Garamond"/>
        </w:rPr>
        <w:t xml:space="preserve"> </w:t>
      </w:r>
    </w:p>
    <w:p w:rsidR="00A02DA5" w:rsidRPr="00102DC4" w:rsidRDefault="00DE5757" w:rsidP="00A02DA5">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Despite robust economic growth in the past decades, </w:t>
      </w:r>
      <w:r w:rsidRPr="00463D22">
        <w:rPr>
          <w:rFonts w:ascii="Garamond" w:hAnsi="Garamond"/>
          <w:sz w:val="24"/>
          <w:szCs w:val="24"/>
        </w:rPr>
        <w:t>generating employment for the expanding labour force</w:t>
      </w:r>
      <w:r>
        <w:rPr>
          <w:rFonts w:ascii="Garamond" w:hAnsi="Garamond"/>
          <w:sz w:val="24"/>
          <w:szCs w:val="24"/>
        </w:rPr>
        <w:t xml:space="preserve"> has remained a challenge as reflected by high unemployment rate in urban areas (about 16.5 percent in 2013). This requires a combination of growth enhancing interventions and social protection programs. The Ethiopian government has initiated about ETB10 billion revolving fund </w:t>
      </w:r>
      <w:r>
        <w:rPr>
          <w:rFonts w:ascii="Garamond" w:hAnsi="Garamond"/>
          <w:sz w:val="24"/>
          <w:szCs w:val="24"/>
        </w:rPr>
        <w:lastRenderedPageBreak/>
        <w:t>for the youth.</w:t>
      </w:r>
      <w:r>
        <w:rPr>
          <w:rStyle w:val="FootnoteReference"/>
          <w:rFonts w:ascii="Garamond" w:hAnsi="Garamond"/>
          <w:sz w:val="24"/>
          <w:szCs w:val="24"/>
        </w:rPr>
        <w:footnoteReference w:id="21"/>
      </w:r>
      <w:r>
        <w:rPr>
          <w:rFonts w:ascii="Garamond" w:hAnsi="Garamond"/>
          <w:sz w:val="24"/>
          <w:szCs w:val="24"/>
        </w:rPr>
        <w:t xml:space="preserve"> Likewise, regional government also established youth fund to ease the growing unemployment problem. Given the scale of unemployment in the country, a coordinated support is required to enhance youth employability through productive and decent jobs. </w:t>
      </w:r>
      <w:r w:rsidR="00A02DA5" w:rsidRPr="001E311E">
        <w:rPr>
          <w:rFonts w:ascii="Garamond" w:hAnsi="Garamond"/>
          <w:sz w:val="24"/>
          <w:szCs w:val="24"/>
        </w:rPr>
        <w:t xml:space="preserve">The Ethiopian government has put a strong emphasis to achieve full and productive employment and decent work for all (SDG 8). </w:t>
      </w:r>
      <w:r w:rsidR="00A02DA5">
        <w:rPr>
          <w:rFonts w:ascii="Garamond" w:hAnsi="Garamond"/>
          <w:sz w:val="24"/>
          <w:szCs w:val="24"/>
        </w:rPr>
        <w:t xml:space="preserve">In particular, efforts have been made to </w:t>
      </w:r>
      <w:r w:rsidR="00A02DA5" w:rsidRPr="00102DC4">
        <w:rPr>
          <w:rFonts w:ascii="Garamond" w:hAnsi="Garamond"/>
          <w:sz w:val="24"/>
          <w:szCs w:val="24"/>
        </w:rPr>
        <w:t xml:space="preserve">substantially increase the number of youth and adults who have relevant technical and vocational skills for employment and promote full and productive employment and decent work, entrepreneurship, and social protection. </w:t>
      </w:r>
      <w:r w:rsidR="00A02DA5">
        <w:rPr>
          <w:rFonts w:ascii="Garamond" w:hAnsi="Garamond"/>
          <w:sz w:val="24"/>
          <w:szCs w:val="24"/>
        </w:rPr>
        <w:t>In this regard, k</w:t>
      </w:r>
      <w:r w:rsidR="00A02DA5" w:rsidRPr="00102DC4">
        <w:rPr>
          <w:rFonts w:ascii="Garamond" w:hAnsi="Garamond"/>
          <w:sz w:val="24"/>
          <w:szCs w:val="24"/>
        </w:rPr>
        <w:t>ey intervention areas include:</w:t>
      </w:r>
    </w:p>
    <w:p w:rsidR="00A02DA5" w:rsidRPr="00DE5757" w:rsidRDefault="00A02DA5" w:rsidP="00A02DA5">
      <w:pPr>
        <w:pStyle w:val="Default"/>
        <w:numPr>
          <w:ilvl w:val="0"/>
          <w:numId w:val="15"/>
        </w:numPr>
        <w:jc w:val="both"/>
        <w:rPr>
          <w:rFonts w:ascii="Garamond" w:hAnsi="Garamond"/>
        </w:rPr>
      </w:pPr>
      <w:r>
        <w:rPr>
          <w:rFonts w:ascii="Garamond" w:hAnsi="Garamond"/>
        </w:rPr>
        <w:t>Expand SMEs,</w:t>
      </w:r>
      <w:r w:rsidRPr="00AC4E6D">
        <w:rPr>
          <w:sz w:val="23"/>
          <w:szCs w:val="23"/>
        </w:rPr>
        <w:t xml:space="preserve"> </w:t>
      </w:r>
    </w:p>
    <w:p w:rsidR="00DE5757" w:rsidRPr="00AC4E6D" w:rsidRDefault="00DE5757" w:rsidP="00A02DA5">
      <w:pPr>
        <w:pStyle w:val="Default"/>
        <w:numPr>
          <w:ilvl w:val="0"/>
          <w:numId w:val="15"/>
        </w:numPr>
        <w:jc w:val="both"/>
        <w:rPr>
          <w:rFonts w:ascii="Garamond" w:hAnsi="Garamond"/>
        </w:rPr>
      </w:pPr>
      <w:r w:rsidRPr="00272DB6">
        <w:rPr>
          <w:rFonts w:ascii="Garamond" w:hAnsi="Garamond"/>
        </w:rPr>
        <w:t>promotion of private investment</w:t>
      </w:r>
      <w:r>
        <w:rPr>
          <w:rFonts w:ascii="Garamond" w:hAnsi="Garamond"/>
        </w:rPr>
        <w:t>,</w:t>
      </w:r>
    </w:p>
    <w:p w:rsidR="00A02DA5" w:rsidRPr="00AC4E6D" w:rsidRDefault="00A02DA5" w:rsidP="00A02DA5">
      <w:pPr>
        <w:pStyle w:val="Default"/>
        <w:numPr>
          <w:ilvl w:val="0"/>
          <w:numId w:val="15"/>
        </w:numPr>
        <w:jc w:val="both"/>
        <w:rPr>
          <w:rFonts w:ascii="Garamond" w:hAnsi="Garamond"/>
        </w:rPr>
      </w:pPr>
      <w:r w:rsidRPr="00AC4E6D">
        <w:rPr>
          <w:rFonts w:ascii="Garamond" w:hAnsi="Garamond"/>
        </w:rPr>
        <w:t xml:space="preserve">Provide </w:t>
      </w:r>
      <w:r>
        <w:rPr>
          <w:rFonts w:ascii="Garamond" w:hAnsi="Garamond"/>
        </w:rPr>
        <w:t>the necessary s</w:t>
      </w:r>
      <w:r w:rsidRPr="00AC4E6D">
        <w:rPr>
          <w:rFonts w:ascii="Garamond" w:hAnsi="Garamond"/>
        </w:rPr>
        <w:t xml:space="preserve">upport </w:t>
      </w:r>
      <w:r>
        <w:rPr>
          <w:rFonts w:ascii="Garamond" w:hAnsi="Garamond"/>
        </w:rPr>
        <w:t xml:space="preserve">to the development of SMEs </w:t>
      </w:r>
      <w:r w:rsidRPr="00AC4E6D">
        <w:rPr>
          <w:rFonts w:ascii="Garamond" w:hAnsi="Garamond"/>
        </w:rPr>
        <w:t xml:space="preserve">including availing adequate (finance) credit, creating market linkages/networks, </w:t>
      </w:r>
      <w:r>
        <w:rPr>
          <w:rFonts w:ascii="Garamond" w:hAnsi="Garamond"/>
        </w:rPr>
        <w:t xml:space="preserve">and </w:t>
      </w:r>
      <w:r w:rsidRPr="00AC4E6D">
        <w:rPr>
          <w:rFonts w:ascii="Garamond" w:hAnsi="Garamond"/>
        </w:rPr>
        <w:t>training on entrepreneurship</w:t>
      </w:r>
      <w:r>
        <w:rPr>
          <w:rFonts w:ascii="Garamond" w:hAnsi="Garamond"/>
        </w:rPr>
        <w:t>,</w:t>
      </w:r>
    </w:p>
    <w:p w:rsidR="00A02DA5" w:rsidRPr="00E72A6D" w:rsidRDefault="00A02DA5" w:rsidP="00A02DA5">
      <w:pPr>
        <w:pStyle w:val="Default"/>
        <w:numPr>
          <w:ilvl w:val="0"/>
          <w:numId w:val="15"/>
        </w:numPr>
        <w:jc w:val="both"/>
        <w:rPr>
          <w:rFonts w:ascii="Garamond" w:hAnsi="Garamond"/>
        </w:rPr>
      </w:pPr>
      <w:r w:rsidRPr="00E72A6D">
        <w:rPr>
          <w:rFonts w:ascii="Garamond" w:hAnsi="Garamond"/>
        </w:rPr>
        <w:t>Establish occupational safety and health service system</w:t>
      </w:r>
      <w:r>
        <w:rPr>
          <w:rFonts w:ascii="Garamond" w:hAnsi="Garamond"/>
        </w:rPr>
        <w:t>,</w:t>
      </w:r>
    </w:p>
    <w:p w:rsidR="00A02DA5" w:rsidRPr="00E72A6D" w:rsidRDefault="00A02DA5" w:rsidP="00A02DA5">
      <w:pPr>
        <w:pStyle w:val="Default"/>
        <w:numPr>
          <w:ilvl w:val="0"/>
          <w:numId w:val="15"/>
        </w:numPr>
        <w:jc w:val="both"/>
        <w:rPr>
          <w:rFonts w:ascii="Garamond" w:hAnsi="Garamond"/>
        </w:rPr>
      </w:pPr>
      <w:r w:rsidRPr="00E72A6D">
        <w:rPr>
          <w:rFonts w:ascii="Garamond" w:hAnsi="Garamond"/>
        </w:rPr>
        <w:t>Establish labour affairs administrative information system</w:t>
      </w:r>
      <w:r>
        <w:rPr>
          <w:rFonts w:ascii="Garamond" w:hAnsi="Garamond"/>
        </w:rPr>
        <w:t>, and</w:t>
      </w:r>
    </w:p>
    <w:p w:rsidR="00A02DA5" w:rsidRPr="00B40F60" w:rsidRDefault="00A02DA5" w:rsidP="00A02DA5">
      <w:pPr>
        <w:pStyle w:val="Default"/>
        <w:numPr>
          <w:ilvl w:val="0"/>
          <w:numId w:val="15"/>
        </w:numPr>
        <w:jc w:val="both"/>
        <w:rPr>
          <w:rFonts w:ascii="Garamond" w:hAnsi="Garamond" w:cs="Times New Roman"/>
          <w:color w:val="auto"/>
        </w:rPr>
      </w:pPr>
      <w:r w:rsidRPr="00B40F60">
        <w:rPr>
          <w:rFonts w:ascii="Garamond" w:hAnsi="Garamond"/>
        </w:rPr>
        <w:t>Strengthen</w:t>
      </w:r>
      <w:r w:rsidR="00DE5757">
        <w:rPr>
          <w:rFonts w:ascii="Garamond" w:hAnsi="Garamond"/>
        </w:rPr>
        <w:t>ing</w:t>
      </w:r>
      <w:r w:rsidRPr="00B40F60">
        <w:rPr>
          <w:rFonts w:ascii="Garamond" w:hAnsi="Garamond"/>
        </w:rPr>
        <w:t xml:space="preserve"> working conditions monitoring service</w:t>
      </w:r>
      <w:r w:rsidR="00DE5757">
        <w:rPr>
          <w:rFonts w:ascii="Garamond" w:hAnsi="Garamond"/>
        </w:rPr>
        <w:t xml:space="preserve">. </w:t>
      </w:r>
      <w:r w:rsidRPr="00B40F60">
        <w:rPr>
          <w:rFonts w:ascii="Garamond" w:hAnsi="Garamond"/>
        </w:rPr>
        <w:t xml:space="preserve"> </w:t>
      </w:r>
    </w:p>
    <w:p w:rsidR="00A02DA5" w:rsidRDefault="00A02DA5" w:rsidP="00A02DA5">
      <w:pPr>
        <w:spacing w:after="0" w:line="240" w:lineRule="auto"/>
        <w:rPr>
          <w:rFonts w:ascii="Arial" w:hAnsi="Arial" w:cs="Arial"/>
          <w:b/>
          <w:sz w:val="20"/>
          <w:szCs w:val="20"/>
          <w:shd w:val="clear" w:color="auto" w:fill="FFFFFF"/>
        </w:rPr>
      </w:pPr>
    </w:p>
    <w:p w:rsidR="00313874" w:rsidRPr="00313874" w:rsidRDefault="00A02DA5" w:rsidP="00313874">
      <w:pPr>
        <w:autoSpaceDE w:val="0"/>
        <w:autoSpaceDN w:val="0"/>
        <w:adjustRightInd w:val="0"/>
        <w:spacing w:after="0" w:line="240" w:lineRule="auto"/>
        <w:jc w:val="both"/>
        <w:rPr>
          <w:rFonts w:ascii="Garamond" w:hAnsi="Garamond" w:cs="Arial"/>
          <w:sz w:val="24"/>
          <w:szCs w:val="24"/>
          <w:shd w:val="clear" w:color="auto" w:fill="FFFFFF"/>
        </w:rPr>
      </w:pPr>
      <w:r w:rsidRPr="009D6715">
        <w:rPr>
          <w:rFonts w:ascii="Garamond" w:hAnsi="Garamond" w:cs="Arial"/>
          <w:sz w:val="24"/>
          <w:szCs w:val="24"/>
          <w:shd w:val="clear" w:color="auto" w:fill="FFFFFF"/>
        </w:rPr>
        <w:t>There are microfinance institutions (MFIs) operating in Ethiopia</w:t>
      </w:r>
      <w:r w:rsidR="00E01EC7">
        <w:rPr>
          <w:rFonts w:ascii="Garamond" w:hAnsi="Garamond" w:cs="Arial"/>
          <w:sz w:val="24"/>
          <w:szCs w:val="24"/>
          <w:shd w:val="clear" w:color="auto" w:fill="FFFFFF"/>
        </w:rPr>
        <w:t xml:space="preserve"> that provide financial services to </w:t>
      </w:r>
      <w:r w:rsidR="00E01EC7" w:rsidRPr="00E01EC7">
        <w:rPr>
          <w:rFonts w:ascii="Garamond" w:hAnsi="Garamond"/>
          <w:sz w:val="24"/>
          <w:szCs w:val="24"/>
        </w:rPr>
        <w:t xml:space="preserve">low income group. </w:t>
      </w:r>
      <w:r w:rsidR="00E01EC7">
        <w:rPr>
          <w:rFonts w:ascii="Garamond" w:hAnsi="Garamond"/>
          <w:sz w:val="24"/>
          <w:szCs w:val="24"/>
        </w:rPr>
        <w:t xml:space="preserve">The Micro Finance Business </w:t>
      </w:r>
      <w:r w:rsidR="00E01EC7" w:rsidRPr="00E01EC7">
        <w:rPr>
          <w:rFonts w:ascii="Garamond" w:hAnsi="Garamond"/>
          <w:sz w:val="24"/>
          <w:szCs w:val="24"/>
        </w:rPr>
        <w:t xml:space="preserve">Proclamation No. 626/2009 </w:t>
      </w:r>
      <w:r w:rsidR="00E01EC7">
        <w:rPr>
          <w:rFonts w:ascii="Garamond" w:hAnsi="Garamond"/>
          <w:sz w:val="24"/>
          <w:szCs w:val="24"/>
        </w:rPr>
        <w:t>provide the legal framework for MFIs business operation in the country.</w:t>
      </w:r>
      <w:r w:rsidR="00C104F3">
        <w:rPr>
          <w:rStyle w:val="FootnoteReference"/>
          <w:rFonts w:ascii="Garamond" w:hAnsi="Garamond"/>
          <w:sz w:val="24"/>
          <w:szCs w:val="24"/>
        </w:rPr>
        <w:footnoteReference w:id="22"/>
      </w:r>
      <w:r w:rsidR="00E01EC7">
        <w:rPr>
          <w:rFonts w:ascii="Garamond" w:hAnsi="Garamond"/>
          <w:sz w:val="24"/>
          <w:szCs w:val="24"/>
        </w:rPr>
        <w:t xml:space="preserve"> </w:t>
      </w:r>
      <w:r w:rsidR="00313874">
        <w:rPr>
          <w:rFonts w:ascii="Garamond" w:hAnsi="Garamond"/>
          <w:sz w:val="24"/>
          <w:szCs w:val="24"/>
        </w:rPr>
        <w:t xml:space="preserve">This legal framework allows MFIs to </w:t>
      </w:r>
      <w:r w:rsidR="00313874" w:rsidRPr="00313874">
        <w:rPr>
          <w:rFonts w:ascii="Garamond" w:hAnsi="Garamond" w:cs="Arial"/>
          <w:sz w:val="24"/>
          <w:szCs w:val="24"/>
          <w:shd w:val="clear" w:color="auto" w:fill="FFFFFF"/>
        </w:rPr>
        <w:t>provid</w:t>
      </w:r>
      <w:r w:rsidR="00313874">
        <w:rPr>
          <w:rFonts w:ascii="Garamond" w:hAnsi="Garamond" w:cs="Arial"/>
          <w:sz w:val="24"/>
          <w:szCs w:val="24"/>
          <w:shd w:val="clear" w:color="auto" w:fill="FFFFFF"/>
        </w:rPr>
        <w:t>e</w:t>
      </w:r>
      <w:r w:rsidR="00313874" w:rsidRPr="00313874">
        <w:rPr>
          <w:rFonts w:ascii="Garamond" w:hAnsi="Garamond" w:cs="Arial"/>
          <w:sz w:val="24"/>
          <w:szCs w:val="24"/>
          <w:shd w:val="clear" w:color="auto" w:fill="FFFFFF"/>
        </w:rPr>
        <w:t xml:space="preserve"> financial services to rural farmers and people engaged in other similar activities as well as micro and small-scale rural and urban entrepreneurs</w:t>
      </w:r>
      <w:r w:rsidR="00313874">
        <w:rPr>
          <w:rFonts w:ascii="Garamond" w:hAnsi="Garamond" w:cs="Arial"/>
          <w:sz w:val="24"/>
          <w:szCs w:val="24"/>
          <w:shd w:val="clear" w:color="auto" w:fill="FFFFFF"/>
        </w:rPr>
        <w:t xml:space="preserve">. </w:t>
      </w:r>
    </w:p>
    <w:p w:rsidR="00313874" w:rsidRDefault="00313874" w:rsidP="00465456">
      <w:pPr>
        <w:spacing w:after="0" w:line="240" w:lineRule="auto"/>
        <w:jc w:val="both"/>
        <w:rPr>
          <w:rFonts w:ascii="Garamond" w:hAnsi="Garamond"/>
          <w:sz w:val="24"/>
          <w:szCs w:val="24"/>
        </w:rPr>
      </w:pPr>
    </w:p>
    <w:p w:rsidR="00A32524" w:rsidRDefault="00E01EC7" w:rsidP="00A32524">
      <w:pPr>
        <w:pStyle w:val="CommentText"/>
        <w:jc w:val="both"/>
        <w:rPr>
          <w:rFonts w:ascii="Garamond" w:hAnsi="Garamond"/>
          <w:sz w:val="24"/>
          <w:szCs w:val="24"/>
        </w:rPr>
      </w:pPr>
      <w:r>
        <w:rPr>
          <w:rFonts w:ascii="Garamond" w:hAnsi="Garamond"/>
          <w:sz w:val="24"/>
          <w:szCs w:val="24"/>
        </w:rPr>
        <w:t>T</w:t>
      </w:r>
      <w:r w:rsidR="00A02DA5" w:rsidRPr="00E01EC7">
        <w:rPr>
          <w:rFonts w:ascii="Garamond" w:hAnsi="Garamond"/>
          <w:sz w:val="24"/>
          <w:szCs w:val="24"/>
        </w:rPr>
        <w:t>here are about 35 MFIs, with 1,593 branches across</w:t>
      </w:r>
      <w:r w:rsidR="00A02DA5" w:rsidRPr="009D6715">
        <w:rPr>
          <w:rFonts w:ascii="Garamond" w:hAnsi="Garamond" w:cs="Arial"/>
          <w:sz w:val="24"/>
          <w:szCs w:val="24"/>
          <w:shd w:val="clear" w:color="auto" w:fill="FFFFFF"/>
        </w:rPr>
        <w:t xml:space="preserve"> the country in 201</w:t>
      </w:r>
      <w:r w:rsidR="0079176F">
        <w:rPr>
          <w:rFonts w:ascii="Garamond" w:hAnsi="Garamond" w:cs="Arial"/>
          <w:sz w:val="24"/>
          <w:szCs w:val="24"/>
          <w:shd w:val="clear" w:color="auto" w:fill="FFFFFF"/>
        </w:rPr>
        <w:t>5</w:t>
      </w:r>
      <w:r w:rsidR="00A02DA5" w:rsidRPr="009D6715">
        <w:rPr>
          <w:rFonts w:ascii="Garamond" w:hAnsi="Garamond" w:cs="Arial"/>
          <w:sz w:val="24"/>
          <w:szCs w:val="24"/>
          <w:shd w:val="clear" w:color="auto" w:fill="FFFFFF"/>
        </w:rPr>
        <w:t>/1</w:t>
      </w:r>
      <w:r w:rsidR="0079176F">
        <w:rPr>
          <w:rFonts w:ascii="Garamond" w:hAnsi="Garamond" w:cs="Arial"/>
          <w:sz w:val="24"/>
          <w:szCs w:val="24"/>
          <w:shd w:val="clear" w:color="auto" w:fill="FFFFFF"/>
        </w:rPr>
        <w:t>6</w:t>
      </w:r>
      <w:r w:rsidR="00A02DA5" w:rsidRPr="009D6715">
        <w:rPr>
          <w:rFonts w:ascii="Garamond" w:hAnsi="Garamond" w:cs="Arial"/>
          <w:sz w:val="24"/>
          <w:szCs w:val="24"/>
          <w:shd w:val="clear" w:color="auto" w:fill="FFFFFF"/>
        </w:rPr>
        <w:t xml:space="preserve">. </w:t>
      </w:r>
      <w:r w:rsidR="002B0AB3" w:rsidRPr="00F8122C">
        <w:rPr>
          <w:rFonts w:ascii="Garamond" w:hAnsi="Garamond"/>
          <w:sz w:val="24"/>
          <w:szCs w:val="24"/>
        </w:rPr>
        <w:t>As a result, the number of clients served by MFIs reached 4.</w:t>
      </w:r>
      <w:r w:rsidR="002B0AB3">
        <w:rPr>
          <w:rFonts w:ascii="Garamond" w:hAnsi="Garamond"/>
          <w:sz w:val="24"/>
          <w:szCs w:val="24"/>
        </w:rPr>
        <w:t>3 million</w:t>
      </w:r>
      <w:r w:rsidR="002B0AB3" w:rsidRPr="00F8122C">
        <w:rPr>
          <w:rFonts w:ascii="Garamond" w:hAnsi="Garamond"/>
          <w:sz w:val="24"/>
          <w:szCs w:val="24"/>
        </w:rPr>
        <w:t xml:space="preserve">. </w:t>
      </w:r>
      <w:r w:rsidR="00A02DA5" w:rsidRPr="009D6715">
        <w:rPr>
          <w:rFonts w:ascii="Garamond" w:hAnsi="Garamond" w:cs="Arial"/>
          <w:sz w:val="24"/>
          <w:szCs w:val="24"/>
          <w:shd w:val="clear" w:color="auto" w:fill="FFFFFF"/>
        </w:rPr>
        <w:t>These MFIs mobilised a total saving deposit of around Birr 1</w:t>
      </w:r>
      <w:r w:rsidR="00223DDA">
        <w:rPr>
          <w:rFonts w:ascii="Garamond" w:hAnsi="Garamond" w:cs="Arial"/>
          <w:sz w:val="24"/>
          <w:szCs w:val="24"/>
          <w:shd w:val="clear" w:color="auto" w:fill="FFFFFF"/>
        </w:rPr>
        <w:t>8.4</w:t>
      </w:r>
      <w:r w:rsidR="00A02DA5" w:rsidRPr="009D6715">
        <w:rPr>
          <w:rFonts w:ascii="Garamond" w:hAnsi="Garamond" w:cs="Arial"/>
          <w:sz w:val="24"/>
          <w:szCs w:val="24"/>
          <w:shd w:val="clear" w:color="auto" w:fill="FFFFFF"/>
        </w:rPr>
        <w:t xml:space="preserve"> billion</w:t>
      </w:r>
      <w:r w:rsidR="00A92365">
        <w:rPr>
          <w:rFonts w:ascii="Garamond" w:hAnsi="Garamond" w:cs="Arial"/>
          <w:sz w:val="24"/>
          <w:szCs w:val="24"/>
          <w:shd w:val="clear" w:color="auto" w:fill="FFFFFF"/>
        </w:rPr>
        <w:t xml:space="preserve"> and </w:t>
      </w:r>
      <w:r w:rsidR="00A02DA5" w:rsidRPr="009D6715">
        <w:rPr>
          <w:rFonts w:ascii="Garamond" w:hAnsi="Garamond" w:cs="Arial"/>
          <w:sz w:val="24"/>
          <w:szCs w:val="24"/>
          <w:shd w:val="clear" w:color="auto" w:fill="FFFFFF"/>
        </w:rPr>
        <w:t>outstanding credit of the MFIs reached Birr 2</w:t>
      </w:r>
      <w:r w:rsidR="00B771D4">
        <w:rPr>
          <w:rFonts w:ascii="Garamond" w:hAnsi="Garamond" w:cs="Arial"/>
          <w:sz w:val="24"/>
          <w:szCs w:val="24"/>
          <w:shd w:val="clear" w:color="auto" w:fill="FFFFFF"/>
        </w:rPr>
        <w:t>5.2</w:t>
      </w:r>
      <w:r w:rsidR="00A02DA5" w:rsidRPr="009D6715">
        <w:rPr>
          <w:rFonts w:ascii="Garamond" w:hAnsi="Garamond" w:cs="Arial"/>
          <w:sz w:val="24"/>
          <w:szCs w:val="24"/>
          <w:shd w:val="clear" w:color="auto" w:fill="FFFFFF"/>
        </w:rPr>
        <w:t xml:space="preserve"> billion. As a result, their total assets </w:t>
      </w:r>
      <w:r w:rsidR="009D6715">
        <w:rPr>
          <w:rFonts w:ascii="Garamond" w:hAnsi="Garamond" w:cs="Arial"/>
          <w:sz w:val="24"/>
          <w:szCs w:val="24"/>
          <w:shd w:val="clear" w:color="auto" w:fill="FFFFFF"/>
        </w:rPr>
        <w:t xml:space="preserve">increased </w:t>
      </w:r>
      <w:r w:rsidR="00A02DA5" w:rsidRPr="009D6715">
        <w:rPr>
          <w:rFonts w:ascii="Garamond" w:hAnsi="Garamond" w:cs="Arial"/>
          <w:sz w:val="24"/>
          <w:szCs w:val="24"/>
          <w:shd w:val="clear" w:color="auto" w:fill="FFFFFF"/>
        </w:rPr>
        <w:t>to Birr 3</w:t>
      </w:r>
      <w:r w:rsidR="00B771D4">
        <w:rPr>
          <w:rFonts w:ascii="Garamond" w:hAnsi="Garamond" w:cs="Arial"/>
          <w:sz w:val="24"/>
          <w:szCs w:val="24"/>
          <w:shd w:val="clear" w:color="auto" w:fill="FFFFFF"/>
        </w:rPr>
        <w:t>6.7</w:t>
      </w:r>
      <w:r w:rsidR="00A02DA5" w:rsidRPr="009D6715">
        <w:rPr>
          <w:rFonts w:ascii="Garamond" w:hAnsi="Garamond" w:cs="Arial"/>
          <w:sz w:val="24"/>
          <w:szCs w:val="24"/>
          <w:shd w:val="clear" w:color="auto" w:fill="FFFFFF"/>
        </w:rPr>
        <w:t xml:space="preserve"> billion</w:t>
      </w:r>
      <w:r w:rsidR="00B771D4">
        <w:rPr>
          <w:rFonts w:ascii="Garamond" w:hAnsi="Garamond" w:cs="Arial"/>
          <w:sz w:val="24"/>
          <w:szCs w:val="24"/>
          <w:shd w:val="clear" w:color="auto" w:fill="FFFFFF"/>
        </w:rPr>
        <w:t xml:space="preserve"> in 2015/16 (NBE, 2016</w:t>
      </w:r>
      <w:r w:rsidR="00A02DA5" w:rsidRPr="009D6715">
        <w:rPr>
          <w:rFonts w:ascii="Garamond" w:hAnsi="Garamond" w:cs="Arial"/>
          <w:sz w:val="24"/>
          <w:szCs w:val="24"/>
          <w:shd w:val="clear" w:color="auto" w:fill="FFFFFF"/>
        </w:rPr>
        <w:t xml:space="preserve">). </w:t>
      </w:r>
      <w:r w:rsidR="00465456" w:rsidRPr="00465456">
        <w:rPr>
          <w:rFonts w:ascii="Garamond" w:eastAsiaTheme="minorHAnsi" w:hAnsi="Garamond" w:cs="MyriadPro-Regular"/>
          <w:sz w:val="24"/>
          <w:szCs w:val="24"/>
        </w:rPr>
        <w:t>All</w:t>
      </w:r>
      <w:r w:rsidR="00A92365">
        <w:rPr>
          <w:rFonts w:ascii="Garamond" w:eastAsiaTheme="minorHAnsi" w:hAnsi="Garamond" w:cs="MyriadPro-Regular"/>
          <w:sz w:val="24"/>
          <w:szCs w:val="24"/>
        </w:rPr>
        <w:t xml:space="preserve"> the MFIs provide mostly small</w:t>
      </w:r>
      <w:r w:rsidR="00E24E83">
        <w:rPr>
          <w:rFonts w:ascii="Garamond" w:eastAsiaTheme="minorHAnsi" w:hAnsi="Garamond" w:cs="MyriadPro-Regular"/>
          <w:sz w:val="24"/>
          <w:szCs w:val="24"/>
        </w:rPr>
        <w:t xml:space="preserve"> and</w:t>
      </w:r>
      <w:r w:rsidR="00A92365">
        <w:rPr>
          <w:rFonts w:ascii="Garamond" w:eastAsiaTheme="minorHAnsi" w:hAnsi="Garamond" w:cs="MyriadPro-Regular"/>
          <w:sz w:val="24"/>
          <w:szCs w:val="24"/>
        </w:rPr>
        <w:t xml:space="preserve"> </w:t>
      </w:r>
      <w:r w:rsidR="00465456" w:rsidRPr="00465456">
        <w:rPr>
          <w:rFonts w:ascii="Garamond" w:eastAsiaTheme="minorHAnsi" w:hAnsi="Garamond" w:cs="MyriadPro-Regular"/>
          <w:sz w:val="24"/>
          <w:szCs w:val="24"/>
        </w:rPr>
        <w:t>short-term loans</w:t>
      </w:r>
      <w:r w:rsidR="00E24E83">
        <w:rPr>
          <w:rFonts w:ascii="Garamond" w:eastAsiaTheme="minorHAnsi" w:hAnsi="Garamond" w:cs="MyriadPro-Regular"/>
          <w:sz w:val="24"/>
          <w:szCs w:val="24"/>
        </w:rPr>
        <w:t xml:space="preserve"> for </w:t>
      </w:r>
      <w:r w:rsidR="00301872">
        <w:rPr>
          <w:rFonts w:ascii="Garamond" w:eastAsiaTheme="minorHAnsi" w:hAnsi="Garamond" w:cs="MyriadPro-Regular"/>
          <w:sz w:val="24"/>
          <w:szCs w:val="24"/>
        </w:rPr>
        <w:t xml:space="preserve">small and </w:t>
      </w:r>
      <w:r w:rsidR="00E24E83">
        <w:rPr>
          <w:rFonts w:ascii="Garamond" w:eastAsiaTheme="minorHAnsi" w:hAnsi="Garamond" w:cs="MyriadPro-Regular"/>
          <w:sz w:val="24"/>
          <w:szCs w:val="24"/>
        </w:rPr>
        <w:t>microenterprises</w:t>
      </w:r>
      <w:r w:rsidR="008442BA">
        <w:rPr>
          <w:rFonts w:ascii="Garamond" w:eastAsiaTheme="minorHAnsi" w:hAnsi="Garamond" w:cs="MyriadPro-Regular"/>
          <w:sz w:val="24"/>
          <w:szCs w:val="24"/>
        </w:rPr>
        <w:t xml:space="preserve"> (SMEs)</w:t>
      </w:r>
      <w:r w:rsidR="00BF4865">
        <w:rPr>
          <w:rFonts w:ascii="Garamond" w:eastAsiaTheme="minorHAnsi" w:hAnsi="Garamond" w:cs="MyriadPro-Regular"/>
          <w:sz w:val="24"/>
          <w:szCs w:val="24"/>
        </w:rPr>
        <w:t xml:space="preserve"> and other purposes</w:t>
      </w:r>
      <w:r w:rsidR="00E24E83">
        <w:rPr>
          <w:rFonts w:ascii="Garamond" w:eastAsiaTheme="minorHAnsi" w:hAnsi="Garamond" w:cs="MyriadPro-Regular"/>
          <w:sz w:val="24"/>
          <w:szCs w:val="24"/>
        </w:rPr>
        <w:t>.</w:t>
      </w:r>
      <w:r w:rsidR="00465456" w:rsidRPr="00465456">
        <w:rPr>
          <w:rFonts w:ascii="Garamond" w:eastAsiaTheme="minorHAnsi" w:hAnsi="Garamond" w:cs="MyriadPro-Regular"/>
          <w:sz w:val="24"/>
          <w:szCs w:val="24"/>
        </w:rPr>
        <w:t xml:space="preserve"> </w:t>
      </w:r>
      <w:r w:rsidR="008442BA">
        <w:rPr>
          <w:rFonts w:ascii="Garamond" w:eastAsiaTheme="minorHAnsi" w:hAnsi="Garamond" w:cs="MyriadPro-Regular"/>
          <w:sz w:val="24"/>
          <w:szCs w:val="24"/>
        </w:rPr>
        <w:t>However, a</w:t>
      </w:r>
      <w:r w:rsidR="008442BA">
        <w:rPr>
          <w:rFonts w:ascii="Garamond" w:hAnsi="Garamond"/>
          <w:bCs/>
          <w:iCs/>
          <w:color w:val="000000"/>
          <w:sz w:val="24"/>
          <w:szCs w:val="24"/>
        </w:rPr>
        <w:t>ccess to finance appears to be a major obstacle for micro and small enterprises and the problem is more severe for small enterprises compared with micro enterprise.</w:t>
      </w:r>
      <w:r w:rsidR="008442BA">
        <w:rPr>
          <w:rStyle w:val="FootnoteReference"/>
          <w:rFonts w:ascii="Garamond" w:hAnsi="Garamond"/>
          <w:bCs/>
          <w:iCs/>
          <w:color w:val="000000"/>
          <w:sz w:val="24"/>
          <w:szCs w:val="24"/>
        </w:rPr>
        <w:footnoteReference w:id="23"/>
      </w:r>
      <w:r w:rsidR="008442BA">
        <w:rPr>
          <w:rFonts w:ascii="Garamond" w:hAnsi="Garamond"/>
          <w:bCs/>
          <w:iCs/>
          <w:color w:val="000000"/>
          <w:sz w:val="24"/>
          <w:szCs w:val="24"/>
        </w:rPr>
        <w:t xml:space="preserve"> In the case of small enterprises,  they are too big for MFIs in terms of the amount of loan they require, but they are too small for commercial banks in loan size, reflecting the missing middle financial intermediary that cater the needs of small enterprises. </w:t>
      </w:r>
      <w:r w:rsidR="007B449E">
        <w:rPr>
          <w:rFonts w:ascii="Garamond" w:hAnsi="Garamond"/>
          <w:sz w:val="24"/>
          <w:szCs w:val="24"/>
        </w:rPr>
        <w:t xml:space="preserve">Note that the existing commercial banks don’t have a special window for SMEs services nor there are specialized financial institution to cater the needs of SMEs. </w:t>
      </w:r>
      <w:r w:rsidR="00A32524" w:rsidRPr="00856823">
        <w:rPr>
          <w:rFonts w:ascii="Garamond" w:hAnsi="Garamond"/>
          <w:sz w:val="24"/>
          <w:szCs w:val="24"/>
        </w:rPr>
        <w:t xml:space="preserve">Hence without renewed focus on promoting </w:t>
      </w:r>
      <w:r w:rsidR="00554076">
        <w:rPr>
          <w:rFonts w:ascii="Garamond" w:hAnsi="Garamond"/>
          <w:sz w:val="24"/>
          <w:szCs w:val="24"/>
        </w:rPr>
        <w:t>S</w:t>
      </w:r>
      <w:r w:rsidR="00A32524" w:rsidRPr="00856823">
        <w:rPr>
          <w:rFonts w:ascii="Garamond" w:hAnsi="Garamond"/>
          <w:sz w:val="24"/>
          <w:szCs w:val="24"/>
        </w:rPr>
        <w:t xml:space="preserve">MEs through improving access to warehouses, relaxing credit constraints, and improving the macroeconomic and regulatory environment, the potential for </w:t>
      </w:r>
      <w:r w:rsidR="00B21D94">
        <w:rPr>
          <w:rFonts w:ascii="Garamond" w:hAnsi="Garamond"/>
          <w:sz w:val="24"/>
          <w:szCs w:val="24"/>
        </w:rPr>
        <w:t>S</w:t>
      </w:r>
      <w:r w:rsidR="00A32524" w:rsidRPr="00856823">
        <w:rPr>
          <w:rFonts w:ascii="Garamond" w:hAnsi="Garamond"/>
          <w:sz w:val="24"/>
          <w:szCs w:val="24"/>
        </w:rPr>
        <w:t>MEs for creating more jobs will be severely compromised.</w:t>
      </w:r>
      <w:r w:rsidR="007B449E">
        <w:rPr>
          <w:rFonts w:ascii="Garamond" w:hAnsi="Garamond"/>
          <w:sz w:val="24"/>
          <w:szCs w:val="24"/>
        </w:rPr>
        <w:t xml:space="preserve"> </w:t>
      </w:r>
    </w:p>
    <w:p w:rsidR="00665FDD" w:rsidRDefault="00665FDD" w:rsidP="00A32524">
      <w:pPr>
        <w:pStyle w:val="CommentText"/>
        <w:jc w:val="both"/>
        <w:rPr>
          <w:rFonts w:ascii="Garamond" w:hAnsi="Garamond"/>
          <w:sz w:val="24"/>
          <w:szCs w:val="24"/>
        </w:rPr>
      </w:pPr>
    </w:p>
    <w:p w:rsidR="00665FDD" w:rsidRDefault="00665FDD" w:rsidP="00A32524">
      <w:pPr>
        <w:pStyle w:val="CommentText"/>
        <w:jc w:val="both"/>
        <w:rPr>
          <w:rFonts w:ascii="Garamond" w:hAnsi="Garamond"/>
          <w:sz w:val="24"/>
          <w:szCs w:val="24"/>
        </w:rPr>
      </w:pPr>
    </w:p>
    <w:p w:rsidR="00665FDD" w:rsidRDefault="00665FDD" w:rsidP="00A32524">
      <w:pPr>
        <w:pStyle w:val="CommentText"/>
        <w:jc w:val="both"/>
        <w:rPr>
          <w:rFonts w:ascii="Garamond" w:hAnsi="Garamond"/>
          <w:sz w:val="24"/>
          <w:szCs w:val="24"/>
        </w:rPr>
      </w:pPr>
    </w:p>
    <w:p w:rsidR="00665FDD" w:rsidRDefault="00665FDD" w:rsidP="00A32524">
      <w:pPr>
        <w:pStyle w:val="CommentText"/>
        <w:jc w:val="both"/>
        <w:rPr>
          <w:rFonts w:ascii="Garamond" w:hAnsi="Garamond"/>
          <w:sz w:val="24"/>
          <w:szCs w:val="24"/>
        </w:rPr>
      </w:pPr>
    </w:p>
    <w:p w:rsidR="00665FDD" w:rsidRDefault="00665FDD" w:rsidP="00A32524">
      <w:pPr>
        <w:pStyle w:val="CommentText"/>
        <w:jc w:val="both"/>
        <w:rPr>
          <w:rFonts w:ascii="Garamond" w:hAnsi="Garamond"/>
          <w:sz w:val="24"/>
          <w:szCs w:val="24"/>
        </w:rPr>
      </w:pPr>
    </w:p>
    <w:p w:rsidR="00665FDD" w:rsidRDefault="00665FDD" w:rsidP="00A32524">
      <w:pPr>
        <w:pStyle w:val="CommentText"/>
        <w:jc w:val="both"/>
        <w:rPr>
          <w:rFonts w:ascii="Garamond" w:hAnsi="Garamond"/>
          <w:sz w:val="24"/>
          <w:szCs w:val="24"/>
        </w:rPr>
      </w:pPr>
    </w:p>
    <w:p w:rsidR="00665FDD" w:rsidRPr="00856823" w:rsidRDefault="00665FDD" w:rsidP="00A32524">
      <w:pPr>
        <w:pStyle w:val="CommentText"/>
        <w:jc w:val="both"/>
        <w:rPr>
          <w:rFonts w:ascii="Garamond" w:hAnsi="Garamond"/>
          <w:sz w:val="24"/>
          <w:szCs w:val="24"/>
        </w:rPr>
      </w:pPr>
    </w:p>
    <w:p w:rsidR="001070F1" w:rsidRPr="001070F1" w:rsidRDefault="001070F1" w:rsidP="00070546">
      <w:pPr>
        <w:pStyle w:val="Caption"/>
        <w:spacing w:after="0"/>
        <w:rPr>
          <w:rFonts w:ascii="Garamond" w:eastAsiaTheme="minorHAnsi" w:hAnsi="Garamond" w:cs="MyriadPro-Regular"/>
          <w:sz w:val="24"/>
          <w:szCs w:val="24"/>
        </w:rPr>
      </w:pPr>
      <w:bookmarkStart w:id="66" w:name="_Toc486585955"/>
      <w:r w:rsidRPr="001070F1">
        <w:rPr>
          <w:rFonts w:ascii="Garamond" w:eastAsiaTheme="minorHAnsi" w:hAnsi="Garamond" w:cs="MyriadPro-Regular"/>
          <w:sz w:val="24"/>
          <w:szCs w:val="24"/>
        </w:rPr>
        <w:t xml:space="preserve">Figure </w:t>
      </w:r>
      <w:r w:rsidR="00BF3BBC" w:rsidRPr="001070F1">
        <w:rPr>
          <w:rFonts w:ascii="Garamond" w:hAnsi="Garamond"/>
          <w:sz w:val="24"/>
          <w:szCs w:val="24"/>
        </w:rPr>
        <w:fldChar w:fldCharType="begin"/>
      </w:r>
      <w:r w:rsidRPr="001070F1">
        <w:rPr>
          <w:rFonts w:ascii="Garamond" w:hAnsi="Garamond"/>
          <w:sz w:val="24"/>
          <w:szCs w:val="24"/>
        </w:rPr>
        <w:instrText xml:space="preserve"> SEQ Figure \* ARABIC </w:instrText>
      </w:r>
      <w:r w:rsidR="00BF3BBC" w:rsidRPr="001070F1">
        <w:rPr>
          <w:rFonts w:ascii="Garamond" w:hAnsi="Garamond"/>
          <w:sz w:val="24"/>
          <w:szCs w:val="24"/>
        </w:rPr>
        <w:fldChar w:fldCharType="separate"/>
      </w:r>
      <w:r w:rsidR="006C24A4">
        <w:rPr>
          <w:rFonts w:ascii="Garamond" w:hAnsi="Garamond"/>
          <w:noProof/>
          <w:sz w:val="24"/>
          <w:szCs w:val="24"/>
        </w:rPr>
        <w:t>20</w:t>
      </w:r>
      <w:r w:rsidR="00BF3BBC" w:rsidRPr="001070F1">
        <w:rPr>
          <w:rFonts w:ascii="Garamond" w:hAnsi="Garamond"/>
          <w:sz w:val="24"/>
          <w:szCs w:val="24"/>
        </w:rPr>
        <w:fldChar w:fldCharType="end"/>
      </w:r>
      <w:r w:rsidRPr="001070F1">
        <w:rPr>
          <w:rFonts w:ascii="Garamond" w:hAnsi="Garamond"/>
          <w:sz w:val="24"/>
          <w:szCs w:val="24"/>
        </w:rPr>
        <w:t>: Trends in key indicators of MFIs</w:t>
      </w:r>
      <w:bookmarkEnd w:id="66"/>
    </w:p>
    <w:p w:rsidR="001070F1" w:rsidRPr="00465456" w:rsidRDefault="001070F1" w:rsidP="00465456">
      <w:pPr>
        <w:spacing w:after="0" w:line="240" w:lineRule="auto"/>
        <w:jc w:val="both"/>
        <w:rPr>
          <w:rFonts w:ascii="Garamond" w:hAnsi="Garamond"/>
          <w:sz w:val="24"/>
          <w:szCs w:val="24"/>
        </w:rPr>
      </w:pPr>
      <w:r>
        <w:rPr>
          <w:noProof/>
        </w:rPr>
        <w:drawing>
          <wp:inline distT="0" distB="0" distL="0" distR="0">
            <wp:extent cx="5943600" cy="1654376"/>
            <wp:effectExtent l="0" t="0" r="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B5375" w:rsidRDefault="00070546" w:rsidP="00CD3DDB">
      <w:pPr>
        <w:autoSpaceDE w:val="0"/>
        <w:autoSpaceDN w:val="0"/>
        <w:adjustRightInd w:val="0"/>
        <w:spacing w:after="0" w:line="240" w:lineRule="auto"/>
        <w:jc w:val="both"/>
        <w:rPr>
          <w:rFonts w:ascii="Garamond" w:hAnsi="Garamond"/>
        </w:rPr>
      </w:pPr>
      <w:r>
        <w:rPr>
          <w:rFonts w:ascii="Garamond" w:hAnsi="Garamond"/>
        </w:rPr>
        <w:t xml:space="preserve">Source: NBE reports </w:t>
      </w:r>
    </w:p>
    <w:p w:rsidR="00E761E8" w:rsidRPr="005C5D50" w:rsidRDefault="00E761E8" w:rsidP="00E761E8">
      <w:pPr>
        <w:pStyle w:val="Heading2"/>
        <w:rPr>
          <w:rFonts w:ascii="Garamond" w:hAnsi="Garamond"/>
          <w:b/>
          <w:sz w:val="24"/>
          <w:szCs w:val="24"/>
        </w:rPr>
      </w:pPr>
      <w:bookmarkStart w:id="67" w:name="_Toc486782273"/>
      <w:r w:rsidRPr="005C5D50">
        <w:rPr>
          <w:rFonts w:ascii="Garamond" w:hAnsi="Garamond"/>
          <w:b/>
          <w:sz w:val="24"/>
          <w:szCs w:val="24"/>
        </w:rPr>
        <w:t>5.5 Domestic climate finance</w:t>
      </w:r>
      <w:bookmarkEnd w:id="67"/>
    </w:p>
    <w:p w:rsidR="000A1EE1" w:rsidRDefault="00E761E8" w:rsidP="000A1EE1">
      <w:pPr>
        <w:spacing w:after="0" w:line="240" w:lineRule="auto"/>
        <w:jc w:val="both"/>
        <w:rPr>
          <w:rFonts w:ascii="Garamond" w:hAnsi="Garamond"/>
          <w:sz w:val="24"/>
          <w:szCs w:val="24"/>
        </w:rPr>
      </w:pPr>
      <w:r w:rsidRPr="00E761E8">
        <w:rPr>
          <w:rFonts w:ascii="Garamond" w:hAnsi="Garamond"/>
          <w:b/>
        </w:rPr>
        <w:t xml:space="preserve"> </w:t>
      </w:r>
      <w:r w:rsidR="000A1EE1">
        <w:rPr>
          <w:rFonts w:ascii="Garamond" w:hAnsi="Garamond"/>
          <w:sz w:val="24"/>
          <w:szCs w:val="24"/>
        </w:rPr>
        <w:t xml:space="preserve">The AAAA attaches strong importance on </w:t>
      </w:r>
      <w:r w:rsidR="000A1EE1" w:rsidRPr="000C4CA0">
        <w:rPr>
          <w:rFonts w:ascii="Garamond" w:hAnsi="Garamond"/>
          <w:sz w:val="24"/>
          <w:szCs w:val="24"/>
        </w:rPr>
        <w:t>protect</w:t>
      </w:r>
      <w:r w:rsidR="000A1EE1">
        <w:rPr>
          <w:rFonts w:ascii="Garamond" w:hAnsi="Garamond"/>
          <w:sz w:val="24"/>
          <w:szCs w:val="24"/>
        </w:rPr>
        <w:t xml:space="preserve">ing </w:t>
      </w:r>
      <w:r w:rsidR="000A1EE1" w:rsidRPr="000C4CA0">
        <w:rPr>
          <w:rFonts w:ascii="Garamond" w:hAnsi="Garamond"/>
          <w:sz w:val="24"/>
          <w:szCs w:val="24"/>
        </w:rPr>
        <w:t>and preserv</w:t>
      </w:r>
      <w:r w:rsidR="000A1EE1">
        <w:rPr>
          <w:rFonts w:ascii="Garamond" w:hAnsi="Garamond"/>
          <w:sz w:val="24"/>
          <w:szCs w:val="24"/>
        </w:rPr>
        <w:t xml:space="preserve">ing </w:t>
      </w:r>
      <w:r w:rsidR="000A1EE1" w:rsidRPr="000C4CA0">
        <w:rPr>
          <w:rFonts w:ascii="Garamond" w:hAnsi="Garamond"/>
          <w:sz w:val="24"/>
          <w:szCs w:val="24"/>
        </w:rPr>
        <w:t>planet and natural resources, biodiversity and climate</w:t>
      </w:r>
      <w:r w:rsidR="000A1EE1">
        <w:rPr>
          <w:rFonts w:ascii="Garamond" w:hAnsi="Garamond"/>
          <w:sz w:val="24"/>
          <w:szCs w:val="24"/>
        </w:rPr>
        <w:t xml:space="preserve"> (SDGs 13, 14, 15; AAAA para 17)</w:t>
      </w:r>
      <w:r w:rsidR="000A1EE1" w:rsidRPr="000C4CA0">
        <w:rPr>
          <w:rFonts w:ascii="Garamond" w:hAnsi="Garamond"/>
          <w:sz w:val="24"/>
          <w:szCs w:val="24"/>
        </w:rPr>
        <w:t xml:space="preserve">. </w:t>
      </w:r>
      <w:r w:rsidR="000A1EE1">
        <w:rPr>
          <w:rFonts w:ascii="Garamond" w:hAnsi="Garamond"/>
          <w:sz w:val="24"/>
          <w:szCs w:val="24"/>
        </w:rPr>
        <w:t xml:space="preserve">This requires a </w:t>
      </w:r>
      <w:r w:rsidR="000A1EE1" w:rsidRPr="000C4CA0">
        <w:rPr>
          <w:rFonts w:ascii="Garamond" w:hAnsi="Garamond"/>
          <w:sz w:val="24"/>
          <w:szCs w:val="24"/>
        </w:rPr>
        <w:t>coherent policy, financing, trade and technology frameworks to protect, manage and restore ecosystems, including marine and terrestrial ecosystems, and to promote their sustainable use, build resilience, reduce pollution and combat climate change, desertification and land degradation.</w:t>
      </w:r>
    </w:p>
    <w:p w:rsidR="00A245DB" w:rsidRPr="00447279" w:rsidRDefault="000A1EE1" w:rsidP="00447279">
      <w:pPr>
        <w:spacing w:after="0" w:line="240" w:lineRule="auto"/>
        <w:jc w:val="both"/>
        <w:rPr>
          <w:rFonts w:ascii="Garamond" w:eastAsiaTheme="minorHAnsi" w:hAnsi="Garamond" w:cs="AkzidenzGroteskBE-Light"/>
          <w:sz w:val="24"/>
          <w:szCs w:val="24"/>
          <w:lang w:val="en-GB"/>
        </w:rPr>
      </w:pPr>
      <w:r>
        <w:rPr>
          <w:rFonts w:ascii="Garamond" w:hAnsi="Garamond"/>
          <w:sz w:val="24"/>
          <w:szCs w:val="24"/>
        </w:rPr>
        <w:t xml:space="preserve">Ethiopia also accords special emphasis on protecting the environment, manage and preserve ecosystems, sustainable use of natural resources, build resilience and address climate change. </w:t>
      </w:r>
      <w:r w:rsidR="00447279" w:rsidRPr="00447279">
        <w:rPr>
          <w:rFonts w:ascii="Garamond" w:eastAsiaTheme="minorHAnsi" w:hAnsi="Garamond" w:cs="AkzidenzGroteskBE-Light"/>
          <w:sz w:val="24"/>
          <w:szCs w:val="24"/>
          <w:lang w:val="en-GB"/>
        </w:rPr>
        <w:t xml:space="preserve">The </w:t>
      </w:r>
      <w:r w:rsidR="00447279">
        <w:rPr>
          <w:rFonts w:ascii="Garamond" w:eastAsiaTheme="minorHAnsi" w:hAnsi="Garamond" w:cs="AkzidenzGroteskBE-Light"/>
          <w:sz w:val="24"/>
          <w:szCs w:val="24"/>
          <w:lang w:val="en-GB"/>
        </w:rPr>
        <w:t>legal context for public responses to climate change are provided in the N</w:t>
      </w:r>
      <w:r w:rsidR="00447279" w:rsidRPr="00447279">
        <w:rPr>
          <w:rFonts w:ascii="Garamond" w:eastAsiaTheme="minorHAnsi" w:hAnsi="Garamond" w:cs="AkzidenzGroteskBE-Light"/>
          <w:sz w:val="24"/>
          <w:szCs w:val="24"/>
          <w:lang w:val="en-GB"/>
        </w:rPr>
        <w:t>ational Environmental Policy (NEP) and the Environmental Protection Organs Establishment Proclamation of 2002 (No. 295/2002)</w:t>
      </w:r>
      <w:r w:rsidR="00447279">
        <w:rPr>
          <w:rFonts w:ascii="Garamond" w:eastAsiaTheme="minorHAnsi" w:hAnsi="Garamond" w:cs="AkzidenzGroteskBE-Light"/>
          <w:sz w:val="24"/>
          <w:szCs w:val="24"/>
          <w:lang w:val="en-GB"/>
        </w:rPr>
        <w:t xml:space="preserve">. </w:t>
      </w:r>
      <w:r>
        <w:rPr>
          <w:rFonts w:ascii="Garamond" w:hAnsi="Garamond"/>
          <w:sz w:val="24"/>
          <w:szCs w:val="24"/>
        </w:rPr>
        <w:t xml:space="preserve">Ethiopia is a front-runner in building an inclusive climate resilient green economy and adopted a climate resilient green economy (CRGE) strategy in 2011. </w:t>
      </w:r>
      <w:r w:rsidRPr="00053B31">
        <w:rPr>
          <w:rFonts w:ascii="Garamond" w:hAnsi="Garamond" w:cstheme="minorHAnsi"/>
          <w:sz w:val="24"/>
          <w:szCs w:val="24"/>
        </w:rPr>
        <w:t xml:space="preserve">The goal of the CRGE is to transform the economy from low-income country status to a </w:t>
      </w:r>
      <w:r>
        <w:rPr>
          <w:rFonts w:ascii="Garamond" w:hAnsi="Garamond" w:cstheme="minorHAnsi"/>
          <w:sz w:val="24"/>
          <w:szCs w:val="24"/>
        </w:rPr>
        <w:t xml:space="preserve">lower </w:t>
      </w:r>
      <w:r w:rsidRPr="00053B31">
        <w:rPr>
          <w:rFonts w:ascii="Garamond" w:hAnsi="Garamond" w:cstheme="minorHAnsi"/>
          <w:sz w:val="24"/>
          <w:szCs w:val="24"/>
        </w:rPr>
        <w:t xml:space="preserve">middle-income status in rapid economic growth path </w:t>
      </w:r>
      <w:r>
        <w:rPr>
          <w:rFonts w:ascii="Garamond" w:hAnsi="Garamond" w:cstheme="minorHAnsi"/>
          <w:sz w:val="24"/>
          <w:szCs w:val="24"/>
        </w:rPr>
        <w:t xml:space="preserve">that </w:t>
      </w:r>
      <w:r w:rsidRPr="00053B31">
        <w:rPr>
          <w:rFonts w:ascii="Garamond" w:hAnsi="Garamond" w:cstheme="minorHAnsi"/>
          <w:sz w:val="24"/>
          <w:szCs w:val="24"/>
        </w:rPr>
        <w:t xml:space="preserve">at the same time reduces greenhouse gases emission, and improves resilience to climate change. </w:t>
      </w:r>
      <w:r>
        <w:rPr>
          <w:rFonts w:ascii="Garamond" w:hAnsi="Garamond"/>
          <w:sz w:val="24"/>
          <w:szCs w:val="24"/>
        </w:rPr>
        <w:t xml:space="preserve">This strategy has been mainstreamed into the second Growth and Transformation </w:t>
      </w:r>
      <w:r w:rsidRPr="00A245DB">
        <w:rPr>
          <w:rFonts w:ascii="Garamond" w:hAnsi="Garamond"/>
          <w:sz w:val="24"/>
          <w:szCs w:val="24"/>
        </w:rPr>
        <w:t xml:space="preserve">Plan. In addition, in mobilizing the required resources for implementing this strategy, the Ethiopian government has established a CRGE Facility and managed by inter-ministerial steering committee. </w:t>
      </w:r>
      <w:r w:rsidR="00A245DB" w:rsidRPr="00A245DB">
        <w:rPr>
          <w:rFonts w:ascii="Garamond" w:eastAsiaTheme="minorHAnsi" w:hAnsi="Garamond" w:cs="AkzidenzGroteskBE-Light"/>
          <w:sz w:val="24"/>
          <w:szCs w:val="24"/>
          <w:lang w:val="en-GB"/>
        </w:rPr>
        <w:t>Institutional arrangements for coordinating and implementing public policy responses for CRGE are outlined in the National Environmental Policy (NEP) and CRGE Vision document. The</w:t>
      </w:r>
      <w:r w:rsidR="00A245DB">
        <w:rPr>
          <w:rFonts w:ascii="Garamond" w:eastAsiaTheme="minorHAnsi" w:hAnsi="Garamond" w:cs="AkzidenzGroteskBE-Light"/>
          <w:sz w:val="24"/>
          <w:szCs w:val="24"/>
          <w:lang w:val="en-GB"/>
        </w:rPr>
        <w:t xml:space="preserve"> </w:t>
      </w:r>
      <w:r w:rsidR="00A245DB" w:rsidRPr="00A245DB">
        <w:rPr>
          <w:rFonts w:ascii="Garamond" w:eastAsiaTheme="minorHAnsi" w:hAnsi="Garamond" w:cs="AkzidenzGroteskBE-Light"/>
          <w:sz w:val="24"/>
          <w:szCs w:val="24"/>
          <w:lang w:val="en-GB"/>
        </w:rPr>
        <w:t>Ministry of Environment</w:t>
      </w:r>
      <w:r w:rsidR="00A245DB">
        <w:rPr>
          <w:rFonts w:ascii="Garamond" w:eastAsiaTheme="minorHAnsi" w:hAnsi="Garamond" w:cs="AkzidenzGroteskBE-Light"/>
          <w:sz w:val="24"/>
          <w:szCs w:val="24"/>
          <w:lang w:val="en-GB"/>
        </w:rPr>
        <w:t xml:space="preserve">, </w:t>
      </w:r>
      <w:r w:rsidR="00A245DB" w:rsidRPr="00A245DB">
        <w:rPr>
          <w:rFonts w:ascii="Garamond" w:eastAsiaTheme="minorHAnsi" w:hAnsi="Garamond" w:cs="AkzidenzGroteskBE-Light"/>
          <w:sz w:val="24"/>
          <w:szCs w:val="24"/>
          <w:lang w:val="en-GB"/>
        </w:rPr>
        <w:t xml:space="preserve">Forests </w:t>
      </w:r>
      <w:r w:rsidR="00A245DB">
        <w:rPr>
          <w:rFonts w:ascii="Garamond" w:eastAsiaTheme="minorHAnsi" w:hAnsi="Garamond" w:cs="AkzidenzGroteskBE-Light"/>
          <w:sz w:val="24"/>
          <w:szCs w:val="24"/>
          <w:lang w:val="en-GB"/>
        </w:rPr>
        <w:t xml:space="preserve">and Climate Change </w:t>
      </w:r>
      <w:r w:rsidR="00A245DB" w:rsidRPr="00A245DB">
        <w:rPr>
          <w:rFonts w:ascii="Garamond" w:eastAsiaTheme="minorHAnsi" w:hAnsi="Garamond" w:cs="AkzidenzGroteskBE-Light"/>
          <w:sz w:val="24"/>
          <w:szCs w:val="24"/>
          <w:lang w:val="en-GB"/>
        </w:rPr>
        <w:t>(MEF</w:t>
      </w:r>
      <w:r w:rsidR="00A245DB">
        <w:rPr>
          <w:rFonts w:ascii="Garamond" w:eastAsiaTheme="minorHAnsi" w:hAnsi="Garamond" w:cs="AkzidenzGroteskBE-Light"/>
          <w:sz w:val="24"/>
          <w:szCs w:val="24"/>
          <w:lang w:val="en-GB"/>
        </w:rPr>
        <w:t>CC</w:t>
      </w:r>
      <w:r w:rsidR="00A245DB" w:rsidRPr="00A245DB">
        <w:rPr>
          <w:rFonts w:ascii="Garamond" w:eastAsiaTheme="minorHAnsi" w:hAnsi="Garamond" w:cs="AkzidenzGroteskBE-Light"/>
          <w:sz w:val="24"/>
          <w:szCs w:val="24"/>
          <w:lang w:val="en-GB"/>
        </w:rPr>
        <w:t>)</w:t>
      </w:r>
      <w:r w:rsidR="00A245DB">
        <w:rPr>
          <w:rFonts w:ascii="Garamond" w:eastAsiaTheme="minorHAnsi" w:hAnsi="Garamond" w:cs="AkzidenzGroteskBE-Light"/>
          <w:sz w:val="24"/>
          <w:szCs w:val="24"/>
          <w:lang w:val="en-GB"/>
        </w:rPr>
        <w:t xml:space="preserve"> is in charge of </w:t>
      </w:r>
      <w:r w:rsidR="00A245DB" w:rsidRPr="00A245DB">
        <w:rPr>
          <w:rFonts w:ascii="Garamond" w:eastAsiaTheme="minorHAnsi" w:hAnsi="Garamond" w:cs="AkzidenzGroteskBE-Light"/>
          <w:sz w:val="24"/>
          <w:szCs w:val="24"/>
          <w:lang w:val="en-GB"/>
        </w:rPr>
        <w:t>coordina</w:t>
      </w:r>
      <w:r w:rsidR="00A245DB">
        <w:rPr>
          <w:rFonts w:ascii="Garamond" w:eastAsiaTheme="minorHAnsi" w:hAnsi="Garamond" w:cs="AkzidenzGroteskBE-Light"/>
          <w:sz w:val="24"/>
          <w:szCs w:val="24"/>
          <w:lang w:val="en-GB"/>
        </w:rPr>
        <w:t>ting</w:t>
      </w:r>
      <w:r w:rsidR="00A245DB" w:rsidRPr="00A245DB">
        <w:rPr>
          <w:rFonts w:ascii="Garamond" w:eastAsiaTheme="minorHAnsi" w:hAnsi="Garamond" w:cs="AkzidenzGroteskBE-Light"/>
          <w:sz w:val="24"/>
          <w:szCs w:val="24"/>
          <w:lang w:val="en-GB"/>
        </w:rPr>
        <w:t xml:space="preserve"> CRGE planning</w:t>
      </w:r>
      <w:r w:rsidR="00A245DB">
        <w:rPr>
          <w:rFonts w:ascii="Garamond" w:eastAsiaTheme="minorHAnsi" w:hAnsi="Garamond" w:cs="AkzidenzGroteskBE-Light"/>
          <w:sz w:val="24"/>
          <w:szCs w:val="24"/>
          <w:lang w:val="en-GB"/>
        </w:rPr>
        <w:t xml:space="preserve">, </w:t>
      </w:r>
      <w:r w:rsidR="00A245DB" w:rsidRPr="00A245DB">
        <w:rPr>
          <w:rFonts w:ascii="Garamond" w:eastAsiaTheme="minorHAnsi" w:hAnsi="Garamond" w:cs="AkzidenzGroteskBE-Light"/>
          <w:sz w:val="24"/>
          <w:szCs w:val="24"/>
          <w:lang w:val="en-GB"/>
        </w:rPr>
        <w:t>while</w:t>
      </w:r>
      <w:r w:rsidR="00A245DB">
        <w:rPr>
          <w:rFonts w:ascii="Garamond" w:eastAsiaTheme="minorHAnsi" w:hAnsi="Garamond" w:cs="AkzidenzGroteskBE-Light"/>
          <w:sz w:val="24"/>
          <w:szCs w:val="24"/>
          <w:lang w:val="en-GB"/>
        </w:rPr>
        <w:t xml:space="preserve"> </w:t>
      </w:r>
      <w:r w:rsidR="00A245DB" w:rsidRPr="00A245DB">
        <w:rPr>
          <w:rFonts w:ascii="Garamond" w:eastAsiaTheme="minorHAnsi" w:hAnsi="Garamond" w:cs="AkzidenzGroteskBE-Light"/>
          <w:sz w:val="24"/>
          <w:szCs w:val="24"/>
          <w:lang w:val="en-GB"/>
        </w:rPr>
        <w:t>the</w:t>
      </w:r>
      <w:r w:rsidR="00A245DB">
        <w:rPr>
          <w:rFonts w:ascii="Garamond" w:eastAsiaTheme="minorHAnsi" w:hAnsi="Garamond" w:cs="AkzidenzGroteskBE-Light"/>
          <w:sz w:val="24"/>
          <w:szCs w:val="24"/>
          <w:lang w:val="en-GB"/>
        </w:rPr>
        <w:t xml:space="preserve"> </w:t>
      </w:r>
      <w:r w:rsidR="00A245DB" w:rsidRPr="00A245DB">
        <w:rPr>
          <w:rFonts w:ascii="Garamond" w:eastAsiaTheme="minorHAnsi" w:hAnsi="Garamond" w:cs="AkzidenzGroteskBE-Light"/>
          <w:sz w:val="24"/>
          <w:szCs w:val="24"/>
          <w:lang w:val="en-GB"/>
        </w:rPr>
        <w:t xml:space="preserve">Ministry of Finance and Economic </w:t>
      </w:r>
      <w:r w:rsidR="00A245DB">
        <w:rPr>
          <w:rFonts w:ascii="Garamond" w:eastAsiaTheme="minorHAnsi" w:hAnsi="Garamond" w:cs="AkzidenzGroteskBE-Light"/>
          <w:sz w:val="24"/>
          <w:szCs w:val="24"/>
          <w:lang w:val="en-GB"/>
        </w:rPr>
        <w:t xml:space="preserve">Cooperation </w:t>
      </w:r>
      <w:r w:rsidR="00A245DB" w:rsidRPr="00A245DB">
        <w:rPr>
          <w:rFonts w:ascii="Garamond" w:eastAsiaTheme="minorHAnsi" w:hAnsi="Garamond" w:cs="AkzidenzGroteskBE-Light"/>
          <w:sz w:val="24"/>
          <w:szCs w:val="24"/>
          <w:lang w:val="en-GB"/>
        </w:rPr>
        <w:t>(MoFE</w:t>
      </w:r>
      <w:r w:rsidR="00A245DB">
        <w:rPr>
          <w:rFonts w:ascii="Garamond" w:eastAsiaTheme="minorHAnsi" w:hAnsi="Garamond" w:cs="AkzidenzGroteskBE-Light"/>
          <w:sz w:val="24"/>
          <w:szCs w:val="24"/>
          <w:lang w:val="en-GB"/>
        </w:rPr>
        <w:t>C</w:t>
      </w:r>
      <w:r w:rsidR="00A245DB" w:rsidRPr="00A245DB">
        <w:rPr>
          <w:rFonts w:ascii="Garamond" w:eastAsiaTheme="minorHAnsi" w:hAnsi="Garamond" w:cs="AkzidenzGroteskBE-Light"/>
          <w:sz w:val="24"/>
          <w:szCs w:val="24"/>
          <w:lang w:val="en-GB"/>
        </w:rPr>
        <w:t>) is responsible for financial aspects of the</w:t>
      </w:r>
      <w:r w:rsidR="00A245DB">
        <w:rPr>
          <w:rFonts w:ascii="Garamond" w:eastAsiaTheme="minorHAnsi" w:hAnsi="Garamond" w:cs="AkzidenzGroteskBE-Light"/>
          <w:sz w:val="24"/>
          <w:szCs w:val="24"/>
          <w:lang w:val="en-GB"/>
        </w:rPr>
        <w:t xml:space="preserve"> </w:t>
      </w:r>
      <w:r w:rsidR="00A245DB" w:rsidRPr="00A245DB">
        <w:rPr>
          <w:rFonts w:ascii="Garamond" w:eastAsiaTheme="minorHAnsi" w:hAnsi="Garamond" w:cs="AkzidenzGroteskBE-Light"/>
          <w:sz w:val="24"/>
          <w:szCs w:val="24"/>
          <w:lang w:val="en-GB"/>
        </w:rPr>
        <w:t>CRGE process. The CRGE Inter-Ministerial Steering Committee provides</w:t>
      </w:r>
      <w:r w:rsidR="00A245DB">
        <w:rPr>
          <w:rFonts w:ascii="Garamond" w:eastAsiaTheme="minorHAnsi" w:hAnsi="Garamond" w:cs="AkzidenzGroteskBE-Light"/>
          <w:sz w:val="24"/>
          <w:szCs w:val="24"/>
          <w:lang w:val="en-GB"/>
        </w:rPr>
        <w:t xml:space="preserve"> </w:t>
      </w:r>
      <w:r w:rsidR="00A245DB" w:rsidRPr="00A245DB">
        <w:rPr>
          <w:rFonts w:ascii="Garamond" w:eastAsiaTheme="minorHAnsi" w:hAnsi="Garamond" w:cs="AkzidenzGroteskBE-Light"/>
          <w:sz w:val="24"/>
          <w:szCs w:val="24"/>
          <w:lang w:val="en-GB"/>
        </w:rPr>
        <w:t>oversight of the CRGE process</w:t>
      </w:r>
      <w:r w:rsidR="00A245DB">
        <w:rPr>
          <w:rFonts w:ascii="Garamond" w:eastAsiaTheme="minorHAnsi" w:hAnsi="Garamond" w:cs="AkzidenzGroteskBE-Light"/>
          <w:sz w:val="24"/>
          <w:szCs w:val="24"/>
          <w:lang w:val="en-GB"/>
        </w:rPr>
        <w:t xml:space="preserve">. </w:t>
      </w:r>
    </w:p>
    <w:p w:rsidR="00D74ACC" w:rsidRPr="003C34BC" w:rsidRDefault="007625A2" w:rsidP="00D74ACC">
      <w:pPr>
        <w:spacing w:after="0" w:line="240" w:lineRule="auto"/>
        <w:jc w:val="both"/>
        <w:rPr>
          <w:rFonts w:ascii="Garamond" w:hAnsi="Garamond"/>
          <w:sz w:val="24"/>
          <w:szCs w:val="24"/>
        </w:rPr>
      </w:pPr>
      <w:r w:rsidRPr="00DF09D3">
        <w:rPr>
          <w:rFonts w:ascii="Garamond" w:hAnsi="Garamond" w:cs="Cambria"/>
          <w:bCs/>
          <w:sz w:val="24"/>
          <w:szCs w:val="24"/>
        </w:rPr>
        <w:t xml:space="preserve">The green economy strategy takes an economy-wide approach to achieving development goals whilst limiting greenhouse gas emissions in 2030 to 2010 levels, which are estimated at 150Mt CO2e (FDRE 2011). </w:t>
      </w:r>
      <w:r w:rsidRPr="00DF09D3">
        <w:rPr>
          <w:rFonts w:ascii="Garamond" w:hAnsi="Garamond"/>
          <w:sz w:val="24"/>
          <w:szCs w:val="24"/>
        </w:rPr>
        <w:t xml:space="preserve">The financing requirements of building a green economy are huge: it requires around USD 150 billion to implement green economy initiatives for 20 years, i.e. </w:t>
      </w:r>
      <w:r w:rsidR="00F53C79" w:rsidRPr="00DF09D3">
        <w:rPr>
          <w:rFonts w:ascii="Garamond" w:hAnsi="Garamond"/>
        </w:rPr>
        <w:t xml:space="preserve">it requires </w:t>
      </w:r>
      <w:r w:rsidRPr="00DF09D3">
        <w:rPr>
          <w:rFonts w:ascii="Garamond" w:hAnsi="Garamond"/>
          <w:sz w:val="24"/>
          <w:szCs w:val="24"/>
        </w:rPr>
        <w:t>on average USD 7.5 billion per year.</w:t>
      </w:r>
      <w:r w:rsidR="008B1795" w:rsidRPr="00DF09D3">
        <w:rPr>
          <w:rFonts w:ascii="Garamond" w:hAnsi="Garamond"/>
          <w:sz w:val="24"/>
          <w:szCs w:val="24"/>
        </w:rPr>
        <w:t xml:space="preserve"> Note that this amount does not include </w:t>
      </w:r>
      <w:r w:rsidR="00F53C79" w:rsidRPr="00DF09D3">
        <w:rPr>
          <w:rFonts w:ascii="Garamond" w:hAnsi="Garamond"/>
        </w:rPr>
        <w:t xml:space="preserve">sectoral </w:t>
      </w:r>
      <w:r w:rsidR="008B1795" w:rsidRPr="00DF09D3">
        <w:rPr>
          <w:rFonts w:ascii="Garamond" w:hAnsi="Garamond"/>
          <w:sz w:val="24"/>
          <w:szCs w:val="24"/>
        </w:rPr>
        <w:t xml:space="preserve">climate resilient investment </w:t>
      </w:r>
      <w:r w:rsidR="008B1795" w:rsidRPr="003C34BC">
        <w:rPr>
          <w:rFonts w:ascii="Garamond" w:hAnsi="Garamond"/>
          <w:sz w:val="24"/>
          <w:szCs w:val="24"/>
        </w:rPr>
        <w:t>requirements.</w:t>
      </w:r>
      <w:r w:rsidRPr="003C34BC">
        <w:rPr>
          <w:rFonts w:ascii="Garamond" w:hAnsi="Garamond"/>
          <w:sz w:val="24"/>
          <w:szCs w:val="24"/>
        </w:rPr>
        <w:t xml:space="preserve"> </w:t>
      </w:r>
      <w:r w:rsidR="008B1795" w:rsidRPr="003C34BC">
        <w:rPr>
          <w:rFonts w:ascii="Garamond" w:hAnsi="Garamond"/>
          <w:sz w:val="24"/>
          <w:szCs w:val="24"/>
        </w:rPr>
        <w:t>Part of this financial requirement is to be mobilized from domestic including government budget and domestic private sector.</w:t>
      </w:r>
      <w:r w:rsidR="00BD5B74" w:rsidRPr="003C34BC">
        <w:rPr>
          <w:rFonts w:ascii="Garamond" w:hAnsi="Garamond"/>
          <w:sz w:val="24"/>
          <w:szCs w:val="24"/>
        </w:rPr>
        <w:t xml:space="preserve"> Data on domestic climate finance is hard to identify in the country</w:t>
      </w:r>
      <w:r w:rsidR="00AD4629" w:rsidRPr="003C34BC">
        <w:rPr>
          <w:rFonts w:ascii="Garamond" w:hAnsi="Garamond"/>
          <w:sz w:val="24"/>
          <w:szCs w:val="24"/>
        </w:rPr>
        <w:t>, but domestic climate finance is likely to be large</w:t>
      </w:r>
      <w:r w:rsidR="00BD5B74" w:rsidRPr="003C34BC">
        <w:rPr>
          <w:rFonts w:ascii="Garamond" w:hAnsi="Garamond"/>
          <w:sz w:val="24"/>
          <w:szCs w:val="24"/>
        </w:rPr>
        <w:t xml:space="preserve">. </w:t>
      </w:r>
      <w:r w:rsidR="004865AA" w:rsidRPr="003C34BC">
        <w:rPr>
          <w:rFonts w:ascii="Garamond" w:eastAsia="Calibri" w:hAnsi="Garamond" w:cs="Calibri"/>
          <w:color w:val="000000"/>
          <w:sz w:val="24"/>
          <w:szCs w:val="24"/>
        </w:rPr>
        <w:t xml:space="preserve">Recent study estimated </w:t>
      </w:r>
      <w:r w:rsidR="00D17386" w:rsidRPr="003C34BC">
        <w:rPr>
          <w:rFonts w:ascii="Garamond" w:hAnsi="Garamond"/>
          <w:sz w:val="24"/>
          <w:szCs w:val="24"/>
        </w:rPr>
        <w:t xml:space="preserve">that </w:t>
      </w:r>
      <w:r w:rsidR="004865AA" w:rsidRPr="003C34BC">
        <w:rPr>
          <w:rFonts w:ascii="Garamond" w:eastAsia="Calibri" w:hAnsi="Garamond" w:cs="Calibri"/>
          <w:color w:val="000000"/>
          <w:sz w:val="24"/>
          <w:szCs w:val="24"/>
        </w:rPr>
        <w:t xml:space="preserve">the level of </w:t>
      </w:r>
      <w:r w:rsidR="007470B3" w:rsidRPr="003C34BC">
        <w:rPr>
          <w:rFonts w:ascii="Garamond" w:hAnsi="Garamond"/>
          <w:sz w:val="24"/>
          <w:szCs w:val="24"/>
        </w:rPr>
        <w:t>c</w:t>
      </w:r>
      <w:r w:rsidR="004865AA" w:rsidRPr="003C34BC">
        <w:rPr>
          <w:rFonts w:ascii="Garamond" w:eastAsia="Calibri" w:hAnsi="Garamond" w:cs="Calibri"/>
          <w:color w:val="000000"/>
          <w:sz w:val="24"/>
          <w:szCs w:val="24"/>
        </w:rPr>
        <w:t xml:space="preserve">limate </w:t>
      </w:r>
      <w:r w:rsidR="007470B3" w:rsidRPr="003C34BC">
        <w:rPr>
          <w:rFonts w:ascii="Garamond" w:hAnsi="Garamond"/>
          <w:sz w:val="24"/>
          <w:szCs w:val="24"/>
        </w:rPr>
        <w:t xml:space="preserve">relevant spending by </w:t>
      </w:r>
      <w:r w:rsidR="007470B3" w:rsidRPr="003C34BC">
        <w:rPr>
          <w:rFonts w:ascii="Garamond" w:eastAsia="Calibri" w:hAnsi="Garamond" w:cs="Calibri"/>
          <w:color w:val="000000"/>
          <w:sz w:val="24"/>
          <w:szCs w:val="24"/>
        </w:rPr>
        <w:t xml:space="preserve">federal government </w:t>
      </w:r>
      <w:r w:rsidR="00D17386" w:rsidRPr="003C34BC">
        <w:rPr>
          <w:rFonts w:ascii="Garamond" w:hAnsi="Garamond"/>
          <w:sz w:val="24"/>
          <w:szCs w:val="24"/>
        </w:rPr>
        <w:t xml:space="preserve">was on average about </w:t>
      </w:r>
      <w:r w:rsidR="007470B3" w:rsidRPr="003C34BC">
        <w:rPr>
          <w:rFonts w:ascii="Garamond" w:hAnsi="Garamond"/>
          <w:sz w:val="24"/>
          <w:szCs w:val="24"/>
        </w:rPr>
        <w:t xml:space="preserve">15 percent of total </w:t>
      </w:r>
      <w:r w:rsidR="007470B3" w:rsidRPr="003C34BC">
        <w:rPr>
          <w:rFonts w:ascii="Garamond" w:hAnsi="Garamond"/>
          <w:sz w:val="24"/>
          <w:szCs w:val="24"/>
        </w:rPr>
        <w:lastRenderedPageBreak/>
        <w:t xml:space="preserve">government expenditure or </w:t>
      </w:r>
      <w:r w:rsidR="00D17386" w:rsidRPr="003C34BC">
        <w:rPr>
          <w:rFonts w:ascii="Garamond" w:hAnsi="Garamond"/>
          <w:sz w:val="24"/>
          <w:szCs w:val="24"/>
        </w:rPr>
        <w:t xml:space="preserve">1.8 percent of GDP between 2008/9 and 2011/12 (Eshetu </w:t>
      </w:r>
      <w:r w:rsidR="00D17386" w:rsidRPr="003C34BC">
        <w:rPr>
          <w:rFonts w:ascii="Garamond" w:hAnsi="Garamond"/>
          <w:i/>
          <w:sz w:val="24"/>
          <w:szCs w:val="24"/>
        </w:rPr>
        <w:t>et al</w:t>
      </w:r>
      <w:r w:rsidR="004865AA" w:rsidRPr="003C34BC">
        <w:rPr>
          <w:rFonts w:ascii="Garamond" w:eastAsia="Calibri" w:hAnsi="Garamond" w:cs="Calibri"/>
          <w:color w:val="000000"/>
          <w:sz w:val="24"/>
          <w:szCs w:val="24"/>
        </w:rPr>
        <w:t>.</w:t>
      </w:r>
      <w:r w:rsidR="00D17386" w:rsidRPr="003C34BC">
        <w:rPr>
          <w:rFonts w:ascii="Garamond" w:hAnsi="Garamond"/>
          <w:sz w:val="24"/>
          <w:szCs w:val="24"/>
        </w:rPr>
        <w:t>, 201</w:t>
      </w:r>
      <w:r w:rsidR="00B21D94" w:rsidRPr="003C34BC">
        <w:rPr>
          <w:rFonts w:ascii="Garamond" w:hAnsi="Garamond"/>
          <w:sz w:val="24"/>
          <w:szCs w:val="24"/>
        </w:rPr>
        <w:t>4</w:t>
      </w:r>
      <w:r w:rsidR="00D17386" w:rsidRPr="003C34BC">
        <w:rPr>
          <w:rFonts w:ascii="Garamond" w:hAnsi="Garamond"/>
          <w:sz w:val="24"/>
          <w:szCs w:val="24"/>
        </w:rPr>
        <w:t>).</w:t>
      </w:r>
      <w:r w:rsidR="00072481">
        <w:rPr>
          <w:rStyle w:val="FootnoteReference"/>
          <w:rFonts w:ascii="Garamond" w:hAnsi="Garamond"/>
          <w:sz w:val="24"/>
          <w:szCs w:val="24"/>
        </w:rPr>
        <w:footnoteReference w:id="24"/>
      </w:r>
      <w:r w:rsidR="00D17386" w:rsidRPr="003C34BC">
        <w:rPr>
          <w:rFonts w:ascii="Garamond" w:hAnsi="Garamond"/>
          <w:sz w:val="24"/>
          <w:szCs w:val="24"/>
        </w:rPr>
        <w:t xml:space="preserve"> </w:t>
      </w:r>
      <w:r w:rsidR="004A2A33" w:rsidRPr="003C34BC">
        <w:rPr>
          <w:rFonts w:ascii="Garamond" w:hAnsi="Garamond"/>
          <w:sz w:val="24"/>
          <w:szCs w:val="24"/>
        </w:rPr>
        <w:t xml:space="preserve">This figure is likely to be higher if spending by domestic private </w:t>
      </w:r>
      <w:r w:rsidR="00EF5D37" w:rsidRPr="003C34BC">
        <w:rPr>
          <w:rFonts w:ascii="Garamond" w:hAnsi="Garamond"/>
          <w:sz w:val="24"/>
          <w:szCs w:val="24"/>
        </w:rPr>
        <w:t xml:space="preserve">sector and regional governments </w:t>
      </w:r>
      <w:r w:rsidR="004A2A33" w:rsidRPr="003C34BC">
        <w:rPr>
          <w:rFonts w:ascii="Garamond" w:hAnsi="Garamond"/>
          <w:sz w:val="24"/>
          <w:szCs w:val="24"/>
        </w:rPr>
        <w:t xml:space="preserve">is included. </w:t>
      </w:r>
      <w:r w:rsidR="00F32DFE" w:rsidRPr="003C34BC">
        <w:rPr>
          <w:rFonts w:ascii="Garamond" w:hAnsi="Garamond"/>
          <w:sz w:val="24"/>
          <w:szCs w:val="24"/>
        </w:rPr>
        <w:t xml:space="preserve">This requires supporting investment in data generation on climate change spending by the government and domestic private sector. </w:t>
      </w:r>
      <w:r w:rsidR="00DF09D3" w:rsidRPr="003C34BC">
        <w:rPr>
          <w:rFonts w:ascii="Garamond" w:hAnsi="Garamond"/>
          <w:sz w:val="24"/>
          <w:szCs w:val="24"/>
        </w:rPr>
        <w:t>In particular, support is required in establishing modern database centre for planning, implementing and monitoring climate change interventions.</w:t>
      </w:r>
      <w:r w:rsidR="00D74ACC">
        <w:rPr>
          <w:rFonts w:ascii="Garamond" w:hAnsi="Garamond"/>
          <w:sz w:val="24"/>
          <w:szCs w:val="24"/>
        </w:rPr>
        <w:t xml:space="preserve"> In addition, there is a need to conduct a comprehensive</w:t>
      </w:r>
      <w:r w:rsidR="00D74ACC" w:rsidRPr="00D74ACC">
        <w:rPr>
          <w:rFonts w:ascii="Garamond" w:hAnsi="Garamond"/>
          <w:sz w:val="24"/>
          <w:szCs w:val="24"/>
        </w:rPr>
        <w:t xml:space="preserve"> Climate Public Expenditure and Institutional Review (CPEIR) and develop a Climate Fiscal Framework (CFF) to ensure the effective use of </w:t>
      </w:r>
      <w:r w:rsidR="00D74ACC">
        <w:rPr>
          <w:rFonts w:ascii="Garamond" w:hAnsi="Garamond"/>
          <w:sz w:val="24"/>
          <w:szCs w:val="24"/>
        </w:rPr>
        <w:t xml:space="preserve">domestic and international </w:t>
      </w:r>
      <w:r w:rsidR="00D74ACC" w:rsidRPr="00D74ACC">
        <w:rPr>
          <w:rFonts w:ascii="Garamond" w:hAnsi="Garamond"/>
          <w:sz w:val="24"/>
          <w:szCs w:val="24"/>
        </w:rPr>
        <w:t>climate finance within the national budget process.</w:t>
      </w:r>
    </w:p>
    <w:p w:rsidR="001450E0" w:rsidRDefault="001450E0" w:rsidP="001450E0">
      <w:pPr>
        <w:pStyle w:val="Default"/>
        <w:rPr>
          <w:rFonts w:ascii="Garamond" w:eastAsiaTheme="minorHAnsi" w:hAnsi="Garamond" w:cs="Microsoft Sans Serif"/>
          <w:color w:val="auto"/>
        </w:rPr>
      </w:pPr>
      <w:bookmarkStart w:id="68" w:name="_Toc486585956"/>
      <w:r w:rsidRPr="001450E0">
        <w:rPr>
          <w:rFonts w:ascii="Garamond" w:hAnsi="Garamond"/>
        </w:rPr>
        <w:t xml:space="preserve">Figure </w:t>
      </w:r>
      <w:r w:rsidR="00BF3BBC" w:rsidRPr="001450E0">
        <w:rPr>
          <w:rFonts w:ascii="Garamond" w:hAnsi="Garamond"/>
        </w:rPr>
        <w:fldChar w:fldCharType="begin"/>
      </w:r>
      <w:r w:rsidRPr="001450E0">
        <w:rPr>
          <w:rFonts w:ascii="Garamond" w:hAnsi="Garamond"/>
        </w:rPr>
        <w:instrText xml:space="preserve"> SEQ Figure \* ARABIC </w:instrText>
      </w:r>
      <w:r w:rsidR="00BF3BBC" w:rsidRPr="001450E0">
        <w:rPr>
          <w:rFonts w:ascii="Garamond" w:hAnsi="Garamond"/>
        </w:rPr>
        <w:fldChar w:fldCharType="separate"/>
      </w:r>
      <w:r w:rsidR="006C24A4">
        <w:rPr>
          <w:rFonts w:ascii="Garamond" w:hAnsi="Garamond"/>
          <w:noProof/>
        </w:rPr>
        <w:t>21</w:t>
      </w:r>
      <w:r w:rsidR="00BF3BBC" w:rsidRPr="001450E0">
        <w:rPr>
          <w:rFonts w:ascii="Garamond" w:hAnsi="Garamond"/>
        </w:rPr>
        <w:fldChar w:fldCharType="end"/>
      </w:r>
      <w:r w:rsidRPr="001450E0">
        <w:rPr>
          <w:rFonts w:ascii="Garamond" w:hAnsi="Garamond"/>
        </w:rPr>
        <w:t xml:space="preserve">: </w:t>
      </w:r>
      <w:r w:rsidRPr="001450E0">
        <w:rPr>
          <w:rFonts w:ascii="Garamond" w:eastAsiaTheme="minorHAnsi" w:hAnsi="Garamond" w:cs="Microsoft Sans Serif"/>
          <w:color w:val="auto"/>
        </w:rPr>
        <w:t xml:space="preserve">Climate change relevant expenditure at </w:t>
      </w:r>
      <w:r w:rsidR="008971FD">
        <w:rPr>
          <w:rFonts w:ascii="Garamond" w:eastAsiaTheme="minorHAnsi" w:hAnsi="Garamond" w:cs="Microsoft Sans Serif"/>
          <w:color w:val="auto"/>
        </w:rPr>
        <w:t xml:space="preserve">by the </w:t>
      </w:r>
      <w:r w:rsidRPr="001450E0">
        <w:rPr>
          <w:rFonts w:ascii="Garamond" w:eastAsiaTheme="minorHAnsi" w:hAnsi="Garamond" w:cs="Microsoft Sans Serif"/>
          <w:color w:val="auto"/>
        </w:rPr>
        <w:t xml:space="preserve">federal </w:t>
      </w:r>
      <w:r w:rsidR="008971FD">
        <w:rPr>
          <w:rFonts w:ascii="Garamond" w:eastAsiaTheme="minorHAnsi" w:hAnsi="Garamond" w:cs="Microsoft Sans Serif"/>
          <w:color w:val="auto"/>
        </w:rPr>
        <w:t>government</w:t>
      </w:r>
      <w:r w:rsidR="00083DAB">
        <w:rPr>
          <w:rFonts w:ascii="Garamond" w:eastAsiaTheme="minorHAnsi" w:hAnsi="Garamond" w:cs="Microsoft Sans Serif"/>
          <w:color w:val="auto"/>
        </w:rPr>
        <w:t xml:space="preserve"> (</w:t>
      </w:r>
      <w:r w:rsidR="00C411EC">
        <w:rPr>
          <w:rFonts w:ascii="Garamond" w:eastAsiaTheme="minorHAnsi" w:hAnsi="Garamond" w:cs="Microsoft Sans Serif"/>
          <w:color w:val="auto"/>
        </w:rPr>
        <w:t>Percent of GDP)</w:t>
      </w:r>
      <w:bookmarkEnd w:id="68"/>
    </w:p>
    <w:p w:rsidR="00C411EC" w:rsidRDefault="00C411EC" w:rsidP="001450E0">
      <w:pPr>
        <w:pStyle w:val="Default"/>
        <w:rPr>
          <w:rFonts w:ascii="Garamond" w:eastAsiaTheme="minorHAnsi" w:hAnsi="Garamond" w:cs="Microsoft Sans Serif"/>
          <w:color w:val="auto"/>
        </w:rPr>
      </w:pPr>
      <w:r>
        <w:rPr>
          <w:noProof/>
        </w:rPr>
        <w:drawing>
          <wp:inline distT="0" distB="0" distL="0" distR="0">
            <wp:extent cx="6235700" cy="2204978"/>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17386" w:rsidRPr="004865AA" w:rsidRDefault="00D17386" w:rsidP="00F53C79">
      <w:pPr>
        <w:pStyle w:val="Default"/>
        <w:jc w:val="both"/>
        <w:rPr>
          <w:rFonts w:ascii="Garamond" w:hAnsi="Garamond"/>
        </w:rPr>
      </w:pPr>
      <w:r>
        <w:rPr>
          <w:rFonts w:ascii="Garamond" w:hAnsi="Garamond"/>
        </w:rPr>
        <w:t xml:space="preserve">Source: Eshetu </w:t>
      </w:r>
      <w:r w:rsidRPr="00D17386">
        <w:rPr>
          <w:rFonts w:ascii="Garamond" w:hAnsi="Garamond"/>
          <w:i/>
        </w:rPr>
        <w:t>et al</w:t>
      </w:r>
      <w:r>
        <w:rPr>
          <w:rFonts w:ascii="Garamond" w:hAnsi="Garamond"/>
        </w:rPr>
        <w:t>. (201</w:t>
      </w:r>
      <w:r w:rsidR="00B21D94">
        <w:rPr>
          <w:rFonts w:ascii="Garamond" w:hAnsi="Garamond"/>
        </w:rPr>
        <w:t>4</w:t>
      </w:r>
      <w:r>
        <w:rPr>
          <w:rFonts w:ascii="Garamond" w:hAnsi="Garamond"/>
        </w:rPr>
        <w:t>)</w:t>
      </w:r>
    </w:p>
    <w:p w:rsidR="008B1795" w:rsidRDefault="008B1795" w:rsidP="007625A2">
      <w:pPr>
        <w:autoSpaceDE w:val="0"/>
        <w:autoSpaceDN w:val="0"/>
        <w:adjustRightInd w:val="0"/>
        <w:spacing w:after="0" w:line="240" w:lineRule="auto"/>
        <w:jc w:val="both"/>
        <w:rPr>
          <w:rFonts w:ascii="Garamond" w:hAnsi="Garamond"/>
          <w:sz w:val="24"/>
          <w:szCs w:val="24"/>
        </w:rPr>
      </w:pPr>
    </w:p>
    <w:p w:rsidR="002E1D27" w:rsidRPr="00B47689" w:rsidRDefault="00F33ADE" w:rsidP="002E1D27">
      <w:pPr>
        <w:pStyle w:val="Heading2"/>
        <w:rPr>
          <w:rFonts w:ascii="Garamond" w:hAnsi="Garamond"/>
          <w:b/>
          <w:sz w:val="24"/>
          <w:szCs w:val="24"/>
        </w:rPr>
      </w:pPr>
      <w:bookmarkStart w:id="69" w:name="_Toc486782274"/>
      <w:r w:rsidRPr="00B47689">
        <w:rPr>
          <w:rFonts w:ascii="Garamond" w:hAnsi="Garamond"/>
          <w:b/>
          <w:sz w:val="24"/>
          <w:szCs w:val="24"/>
        </w:rPr>
        <w:t>5.6</w:t>
      </w:r>
      <w:r w:rsidR="002E1D27" w:rsidRPr="00B47689">
        <w:rPr>
          <w:rFonts w:ascii="Garamond" w:hAnsi="Garamond"/>
          <w:b/>
          <w:sz w:val="24"/>
          <w:szCs w:val="24"/>
        </w:rPr>
        <w:t xml:space="preserve"> Domestic philanthropy and non-governmental organizations (NGOs)</w:t>
      </w:r>
      <w:bookmarkEnd w:id="69"/>
    </w:p>
    <w:p w:rsidR="00EF438E" w:rsidRDefault="009312F0" w:rsidP="004323AB">
      <w:pPr>
        <w:autoSpaceDE w:val="0"/>
        <w:autoSpaceDN w:val="0"/>
        <w:adjustRightInd w:val="0"/>
        <w:spacing w:after="0" w:line="240" w:lineRule="auto"/>
        <w:jc w:val="both"/>
        <w:rPr>
          <w:rFonts w:ascii="Garamond" w:eastAsiaTheme="minorHAnsi" w:hAnsi="Garamond" w:cs="MyriadPro-Regular"/>
          <w:sz w:val="24"/>
          <w:szCs w:val="24"/>
          <w:lang w:val="en-GB"/>
        </w:rPr>
      </w:pPr>
      <w:r w:rsidRPr="009312F0">
        <w:rPr>
          <w:rFonts w:ascii="Garamond" w:eastAsiaTheme="minorHAnsi" w:hAnsi="Garamond" w:cs="MyriadPro-Regular"/>
          <w:sz w:val="24"/>
          <w:szCs w:val="24"/>
          <w:lang w:val="en-GB"/>
        </w:rPr>
        <w:t xml:space="preserve">Ethiopia has a long tradition of partnership with </w:t>
      </w:r>
      <w:r>
        <w:rPr>
          <w:rFonts w:ascii="Garamond" w:eastAsiaTheme="minorHAnsi" w:hAnsi="Garamond" w:cs="MyriadPro-Regular"/>
          <w:sz w:val="24"/>
          <w:szCs w:val="24"/>
          <w:lang w:val="en-GB"/>
        </w:rPr>
        <w:t xml:space="preserve">domestic </w:t>
      </w:r>
      <w:r w:rsidRPr="009312F0">
        <w:rPr>
          <w:rFonts w:ascii="Garamond" w:eastAsiaTheme="minorHAnsi" w:hAnsi="Garamond" w:cs="MyriadPro-Regular"/>
          <w:sz w:val="24"/>
          <w:szCs w:val="24"/>
          <w:lang w:val="en-GB"/>
        </w:rPr>
        <w:t>NGOs</w:t>
      </w:r>
      <w:r>
        <w:rPr>
          <w:rFonts w:ascii="Garamond" w:eastAsiaTheme="minorHAnsi" w:hAnsi="Garamond" w:cs="MyriadPro-Regular"/>
          <w:sz w:val="24"/>
          <w:szCs w:val="24"/>
          <w:lang w:val="en-GB"/>
        </w:rPr>
        <w:t xml:space="preserve"> that have been supporting </w:t>
      </w:r>
      <w:r w:rsidRPr="009312F0">
        <w:rPr>
          <w:rFonts w:ascii="Garamond" w:eastAsiaTheme="minorHAnsi" w:hAnsi="Garamond" w:cs="MyriadPro-Regular"/>
          <w:sz w:val="24"/>
          <w:szCs w:val="24"/>
          <w:lang w:val="en-GB"/>
        </w:rPr>
        <w:t>the government in the delivery of a wide range of services including education, health, training, women’s empowerment, microcredit, agriculture, climate change and social protection.</w:t>
      </w:r>
      <w:r w:rsidR="00EF438E">
        <w:rPr>
          <w:rFonts w:ascii="Garamond" w:eastAsiaTheme="minorHAnsi" w:hAnsi="Garamond" w:cs="MyriadPro-Regular"/>
          <w:sz w:val="24"/>
          <w:szCs w:val="24"/>
          <w:lang w:val="en-GB"/>
        </w:rPr>
        <w:t xml:space="preserve"> </w:t>
      </w:r>
      <w:r w:rsidR="004323AB" w:rsidRPr="004323AB">
        <w:rPr>
          <w:rFonts w:ascii="Garamond" w:eastAsiaTheme="minorHAnsi" w:hAnsi="Garamond" w:cs="MyriadPro-Regular"/>
          <w:sz w:val="24"/>
          <w:szCs w:val="24"/>
          <w:lang w:val="en-GB"/>
        </w:rPr>
        <w:t xml:space="preserve">Current data constraints do not allow estimations of the volume of investment made by philanthropic and other domestic sources. However, discussions with </w:t>
      </w:r>
      <w:r w:rsidR="00EF438E">
        <w:rPr>
          <w:rFonts w:ascii="Garamond" w:eastAsiaTheme="minorHAnsi" w:hAnsi="Garamond" w:cs="MyriadPro-Regular"/>
          <w:sz w:val="24"/>
          <w:szCs w:val="24"/>
          <w:lang w:val="en-GB"/>
        </w:rPr>
        <w:t>stakeholders indicate that domestic</w:t>
      </w:r>
      <w:r w:rsidR="004323AB" w:rsidRPr="004323AB">
        <w:rPr>
          <w:rFonts w:ascii="Garamond" w:eastAsiaTheme="minorHAnsi" w:hAnsi="Garamond" w:cs="MyriadPro-Regular"/>
          <w:sz w:val="24"/>
          <w:szCs w:val="24"/>
          <w:lang w:val="en-GB"/>
        </w:rPr>
        <w:t xml:space="preserve"> funding for national NGOs is limited.</w:t>
      </w:r>
      <w:r w:rsidR="002E23DC">
        <w:rPr>
          <w:rFonts w:ascii="Garamond" w:eastAsiaTheme="minorHAnsi" w:hAnsi="Garamond" w:cs="MyriadPro-Regular"/>
          <w:sz w:val="24"/>
          <w:szCs w:val="24"/>
          <w:lang w:val="en-GB"/>
        </w:rPr>
        <w:t xml:space="preserve"> </w:t>
      </w:r>
    </w:p>
    <w:p w:rsidR="00EF46F9" w:rsidRDefault="002E23DC" w:rsidP="00EF5334">
      <w:pPr>
        <w:autoSpaceDE w:val="0"/>
        <w:autoSpaceDN w:val="0"/>
        <w:adjustRightInd w:val="0"/>
        <w:spacing w:after="0" w:line="240" w:lineRule="auto"/>
        <w:jc w:val="both"/>
        <w:rPr>
          <w:rFonts w:ascii="Garamond" w:hAnsi="Garamond"/>
          <w:sz w:val="24"/>
          <w:szCs w:val="24"/>
        </w:rPr>
      </w:pPr>
      <w:r>
        <w:rPr>
          <w:rFonts w:ascii="Garamond" w:eastAsiaTheme="minorHAnsi" w:hAnsi="Garamond" w:cs="MyriadPro-Regular"/>
          <w:sz w:val="24"/>
          <w:szCs w:val="24"/>
          <w:lang w:val="en-GB"/>
        </w:rPr>
        <w:t xml:space="preserve">Although </w:t>
      </w:r>
      <w:r w:rsidR="00786C81">
        <w:rPr>
          <w:rFonts w:ascii="Garamond" w:eastAsiaTheme="minorHAnsi" w:hAnsi="Garamond" w:cs="MyriadPro-Regular"/>
          <w:sz w:val="24"/>
          <w:szCs w:val="24"/>
          <w:lang w:val="en-GB"/>
        </w:rPr>
        <w:t>GTP-II recognizes t</w:t>
      </w:r>
      <w:r w:rsidR="00EF438E" w:rsidRPr="00EF438E">
        <w:rPr>
          <w:rFonts w:ascii="Garamond" w:hAnsi="Garamond"/>
          <w:sz w:val="24"/>
          <w:szCs w:val="24"/>
        </w:rPr>
        <w:t>he role</w:t>
      </w:r>
      <w:r>
        <w:rPr>
          <w:rFonts w:ascii="Garamond" w:hAnsi="Garamond"/>
          <w:sz w:val="24"/>
          <w:szCs w:val="24"/>
        </w:rPr>
        <w:t>s</w:t>
      </w:r>
      <w:r w:rsidR="00EF438E" w:rsidRPr="00EF438E">
        <w:rPr>
          <w:rFonts w:ascii="Garamond" w:hAnsi="Garamond"/>
          <w:sz w:val="24"/>
          <w:szCs w:val="24"/>
        </w:rPr>
        <w:t xml:space="preserve"> of non-government charity organizations in the country’s development</w:t>
      </w:r>
      <w:r>
        <w:rPr>
          <w:rFonts w:ascii="Garamond" w:hAnsi="Garamond"/>
          <w:sz w:val="24"/>
          <w:szCs w:val="24"/>
        </w:rPr>
        <w:t xml:space="preserve">, the plan lacks details regarding </w:t>
      </w:r>
      <w:r w:rsidRPr="00EF438E">
        <w:rPr>
          <w:rFonts w:ascii="Garamond" w:eastAsiaTheme="minorHAnsi" w:hAnsi="Garamond" w:cs="MyriadPro-Regular"/>
          <w:sz w:val="24"/>
          <w:szCs w:val="24"/>
          <w:lang w:val="en-GB"/>
        </w:rPr>
        <w:t>strategic areas for which the government seek</w:t>
      </w:r>
      <w:r>
        <w:rPr>
          <w:rFonts w:ascii="Garamond" w:eastAsiaTheme="minorHAnsi" w:hAnsi="Garamond" w:cs="MyriadPro-Regular"/>
          <w:sz w:val="24"/>
          <w:szCs w:val="24"/>
          <w:lang w:val="en-GB"/>
        </w:rPr>
        <w:t>s</w:t>
      </w:r>
      <w:r w:rsidRPr="00EF438E">
        <w:rPr>
          <w:rFonts w:ascii="Garamond" w:eastAsiaTheme="minorHAnsi" w:hAnsi="Garamond" w:cs="MyriadPro-Regular"/>
          <w:sz w:val="24"/>
          <w:szCs w:val="24"/>
          <w:lang w:val="en-GB"/>
        </w:rPr>
        <w:t xml:space="preserve"> partnerships with NGOs</w:t>
      </w:r>
      <w:r>
        <w:rPr>
          <w:rFonts w:ascii="Garamond" w:eastAsiaTheme="minorHAnsi" w:hAnsi="Garamond" w:cs="MyriadPro-Regular"/>
          <w:sz w:val="24"/>
          <w:szCs w:val="24"/>
          <w:lang w:val="en-GB"/>
        </w:rPr>
        <w:t xml:space="preserve">. </w:t>
      </w:r>
      <w:r w:rsidR="00EF5334" w:rsidRPr="00EF5334">
        <w:rPr>
          <w:rFonts w:ascii="Garamond" w:hAnsi="Garamond"/>
          <w:sz w:val="24"/>
          <w:szCs w:val="24"/>
        </w:rPr>
        <w:t>To enhance the contribution of NGOs to help achieve the goals of GTP-II, a number of issues must be addressed</w:t>
      </w:r>
      <w:r w:rsidR="00EF5334">
        <w:rPr>
          <w:rFonts w:ascii="Garamond" w:hAnsi="Garamond"/>
          <w:sz w:val="24"/>
          <w:szCs w:val="24"/>
        </w:rPr>
        <w:t xml:space="preserve"> including </w:t>
      </w:r>
      <w:r w:rsidR="009655C6">
        <w:rPr>
          <w:rFonts w:ascii="Garamond" w:hAnsi="Garamond"/>
          <w:sz w:val="24"/>
          <w:szCs w:val="24"/>
        </w:rPr>
        <w:t xml:space="preserve">among others </w:t>
      </w:r>
      <w:r w:rsidR="00EF5334">
        <w:rPr>
          <w:rFonts w:ascii="Garamond" w:hAnsi="Garamond"/>
          <w:sz w:val="24"/>
          <w:szCs w:val="24"/>
        </w:rPr>
        <w:t>establishing a comprehensive database for monitoring and follow up domestic NGOs and their activities</w:t>
      </w:r>
      <w:r w:rsidR="009655C6">
        <w:rPr>
          <w:rFonts w:ascii="Garamond" w:hAnsi="Garamond"/>
          <w:sz w:val="24"/>
          <w:szCs w:val="24"/>
        </w:rPr>
        <w:t>, and address the fund constraints of national NGOs</w:t>
      </w:r>
      <w:r w:rsidR="00EF5334">
        <w:rPr>
          <w:rFonts w:ascii="Garamond" w:hAnsi="Garamond"/>
          <w:sz w:val="24"/>
          <w:szCs w:val="24"/>
        </w:rPr>
        <w:t xml:space="preserve">. This will also help align NGOs activities with the priorities of the national development.   </w:t>
      </w:r>
    </w:p>
    <w:p w:rsidR="00EF46F9" w:rsidRDefault="00EF46F9" w:rsidP="00EF46F9">
      <w:r>
        <w:br w:type="page"/>
      </w:r>
    </w:p>
    <w:p w:rsidR="001C525E" w:rsidRPr="00B54D59" w:rsidRDefault="000A1581" w:rsidP="00B54D59">
      <w:pPr>
        <w:pStyle w:val="Heading1"/>
        <w:jc w:val="center"/>
        <w:rPr>
          <w:rFonts w:ascii="Garamond" w:eastAsiaTheme="minorHAnsi" w:hAnsi="Garamond"/>
          <w:b/>
          <w:sz w:val="24"/>
          <w:szCs w:val="24"/>
          <w:lang w:val="en-GB"/>
        </w:rPr>
      </w:pPr>
      <w:bookmarkStart w:id="70" w:name="_Toc486782275"/>
      <w:r w:rsidRPr="00B54D59">
        <w:rPr>
          <w:rFonts w:ascii="Garamond" w:eastAsiaTheme="minorHAnsi" w:hAnsi="Garamond"/>
          <w:b/>
          <w:sz w:val="24"/>
          <w:szCs w:val="24"/>
          <w:lang w:val="en-GB"/>
        </w:rPr>
        <w:lastRenderedPageBreak/>
        <w:t xml:space="preserve">6. External Finance: </w:t>
      </w:r>
      <w:r w:rsidR="0050103F" w:rsidRPr="00B54D59">
        <w:rPr>
          <w:rFonts w:ascii="Garamond" w:eastAsiaTheme="minorHAnsi" w:hAnsi="Garamond"/>
          <w:b/>
          <w:sz w:val="24"/>
          <w:szCs w:val="24"/>
          <w:lang w:val="en-GB"/>
        </w:rPr>
        <w:t>Analysis of i</w:t>
      </w:r>
      <w:r w:rsidRPr="00B54D59">
        <w:rPr>
          <w:rFonts w:ascii="Garamond" w:eastAsiaTheme="minorHAnsi" w:hAnsi="Garamond"/>
          <w:b/>
          <w:sz w:val="24"/>
          <w:szCs w:val="24"/>
          <w:lang w:val="en-GB"/>
        </w:rPr>
        <w:t xml:space="preserve">nstitutional and </w:t>
      </w:r>
      <w:r w:rsidR="0050103F" w:rsidRPr="00B54D59">
        <w:rPr>
          <w:rFonts w:ascii="Garamond" w:eastAsiaTheme="minorHAnsi" w:hAnsi="Garamond"/>
          <w:b/>
          <w:sz w:val="24"/>
          <w:szCs w:val="24"/>
          <w:lang w:val="en-GB"/>
        </w:rPr>
        <w:t>p</w:t>
      </w:r>
      <w:r w:rsidRPr="00B54D59">
        <w:rPr>
          <w:rFonts w:ascii="Garamond" w:eastAsiaTheme="minorHAnsi" w:hAnsi="Garamond"/>
          <w:b/>
          <w:sz w:val="24"/>
          <w:szCs w:val="24"/>
          <w:lang w:val="en-GB"/>
        </w:rPr>
        <w:t xml:space="preserve">olicy </w:t>
      </w:r>
      <w:r w:rsidR="0050103F" w:rsidRPr="00B54D59">
        <w:rPr>
          <w:rFonts w:ascii="Garamond" w:eastAsiaTheme="minorHAnsi" w:hAnsi="Garamond"/>
          <w:b/>
          <w:sz w:val="24"/>
          <w:szCs w:val="24"/>
          <w:lang w:val="en-GB"/>
        </w:rPr>
        <w:t>c</w:t>
      </w:r>
      <w:r w:rsidRPr="00B54D59">
        <w:rPr>
          <w:rFonts w:ascii="Garamond" w:eastAsiaTheme="minorHAnsi" w:hAnsi="Garamond"/>
          <w:b/>
          <w:sz w:val="24"/>
          <w:szCs w:val="24"/>
          <w:lang w:val="en-GB"/>
        </w:rPr>
        <w:t>ontext</w:t>
      </w:r>
      <w:bookmarkEnd w:id="70"/>
    </w:p>
    <w:p w:rsidR="000A1581" w:rsidRPr="000A1581" w:rsidRDefault="000A1581" w:rsidP="000A1581">
      <w:pPr>
        <w:autoSpaceDE w:val="0"/>
        <w:autoSpaceDN w:val="0"/>
        <w:adjustRightInd w:val="0"/>
        <w:spacing w:after="0" w:line="240" w:lineRule="auto"/>
        <w:jc w:val="center"/>
        <w:rPr>
          <w:rFonts w:ascii="Garamond" w:hAnsi="Garamond"/>
          <w:sz w:val="24"/>
          <w:szCs w:val="24"/>
        </w:rPr>
      </w:pPr>
    </w:p>
    <w:p w:rsidR="008046F4" w:rsidRDefault="008046F4"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T</w:t>
      </w:r>
      <w:r w:rsidRPr="0059266A">
        <w:rPr>
          <w:rFonts w:ascii="Garamond" w:hAnsi="Garamond"/>
          <w:sz w:val="24"/>
          <w:szCs w:val="24"/>
        </w:rPr>
        <w:t>he 2030 Agenda for Sustainable Development will place signi</w:t>
      </w:r>
      <w:r>
        <w:rPr>
          <w:rFonts w:ascii="Garamond" w:hAnsi="Garamond"/>
          <w:sz w:val="24"/>
          <w:szCs w:val="24"/>
        </w:rPr>
        <w:t>f</w:t>
      </w:r>
      <w:r w:rsidRPr="0059266A">
        <w:rPr>
          <w:rFonts w:ascii="Garamond" w:hAnsi="Garamond"/>
          <w:sz w:val="24"/>
          <w:szCs w:val="24"/>
        </w:rPr>
        <w:t xml:space="preserve">icant demands on public budgets and capacities, which </w:t>
      </w:r>
      <w:r>
        <w:rPr>
          <w:rFonts w:ascii="Garamond" w:hAnsi="Garamond"/>
          <w:sz w:val="24"/>
          <w:szCs w:val="24"/>
        </w:rPr>
        <w:t>require scal</w:t>
      </w:r>
      <w:r w:rsidR="00F0165F">
        <w:rPr>
          <w:rFonts w:ascii="Garamond" w:hAnsi="Garamond"/>
          <w:sz w:val="24"/>
          <w:szCs w:val="24"/>
        </w:rPr>
        <w:t xml:space="preserve">ing </w:t>
      </w:r>
      <w:r w:rsidR="00A91245">
        <w:rPr>
          <w:rFonts w:ascii="Garamond" w:hAnsi="Garamond"/>
          <w:sz w:val="24"/>
          <w:szCs w:val="24"/>
        </w:rPr>
        <w:t>u</w:t>
      </w:r>
      <w:r>
        <w:rPr>
          <w:rFonts w:ascii="Garamond" w:hAnsi="Garamond"/>
          <w:sz w:val="24"/>
          <w:szCs w:val="24"/>
        </w:rPr>
        <w:t>p and more effec</w:t>
      </w:r>
      <w:r w:rsidRPr="0059266A">
        <w:rPr>
          <w:rFonts w:ascii="Garamond" w:hAnsi="Garamond"/>
          <w:sz w:val="24"/>
          <w:szCs w:val="24"/>
        </w:rPr>
        <w:t>tive international</w:t>
      </w:r>
      <w:r>
        <w:rPr>
          <w:rFonts w:ascii="Garamond" w:hAnsi="Garamond"/>
          <w:sz w:val="24"/>
          <w:szCs w:val="24"/>
        </w:rPr>
        <w:t xml:space="preserve"> support, including both conces</w:t>
      </w:r>
      <w:r w:rsidRPr="0059266A">
        <w:rPr>
          <w:rFonts w:ascii="Garamond" w:hAnsi="Garamond"/>
          <w:sz w:val="24"/>
          <w:szCs w:val="24"/>
        </w:rPr>
        <w:t xml:space="preserve">sional and non-concessional </w:t>
      </w:r>
      <w:r>
        <w:rPr>
          <w:rFonts w:ascii="Garamond" w:hAnsi="Garamond"/>
          <w:sz w:val="24"/>
          <w:szCs w:val="24"/>
        </w:rPr>
        <w:t>f</w:t>
      </w:r>
      <w:r w:rsidRPr="0059266A">
        <w:rPr>
          <w:rFonts w:ascii="Garamond" w:hAnsi="Garamond"/>
          <w:sz w:val="24"/>
          <w:szCs w:val="24"/>
        </w:rPr>
        <w:t>inancing.</w:t>
      </w:r>
      <w:r>
        <w:rPr>
          <w:rFonts w:ascii="Garamond" w:hAnsi="Garamond"/>
          <w:sz w:val="24"/>
          <w:szCs w:val="24"/>
        </w:rPr>
        <w:t xml:space="preserve"> </w:t>
      </w:r>
      <w:r w:rsidRPr="00D0663B">
        <w:rPr>
          <w:rFonts w:ascii="Garamond" w:hAnsi="Garamond"/>
          <w:sz w:val="24"/>
          <w:szCs w:val="24"/>
        </w:rPr>
        <w:t>To mobilize this support, the Addis Agenda contains a range of commitments and actions on o</w:t>
      </w:r>
      <w:r>
        <w:rPr>
          <w:rFonts w:ascii="Garamond" w:hAnsi="Garamond"/>
          <w:sz w:val="24"/>
          <w:szCs w:val="24"/>
        </w:rPr>
        <w:t>ff</w:t>
      </w:r>
      <w:r w:rsidRPr="00D0663B">
        <w:rPr>
          <w:rFonts w:ascii="Garamond" w:hAnsi="Garamond"/>
          <w:sz w:val="24"/>
          <w:szCs w:val="24"/>
        </w:rPr>
        <w:t>icial development assistance (ODA)</w:t>
      </w:r>
      <w:r w:rsidRPr="00AC3892">
        <w:rPr>
          <w:rFonts w:ascii="Garamond" w:hAnsi="Garamond"/>
          <w:sz w:val="24"/>
          <w:szCs w:val="24"/>
        </w:rPr>
        <w:t xml:space="preserve"> </w:t>
      </w:r>
      <w:r w:rsidRPr="00A90ACE">
        <w:rPr>
          <w:rFonts w:ascii="Garamond" w:hAnsi="Garamond"/>
          <w:sz w:val="24"/>
          <w:szCs w:val="24"/>
        </w:rPr>
        <w:t>(SDG 17</w:t>
      </w:r>
      <w:r>
        <w:rPr>
          <w:rFonts w:ascii="Garamond" w:hAnsi="Garamond"/>
          <w:sz w:val="24"/>
          <w:szCs w:val="24"/>
        </w:rPr>
        <w:t>;</w:t>
      </w:r>
      <w:r w:rsidRPr="00A90ACE">
        <w:rPr>
          <w:rFonts w:ascii="Garamond" w:hAnsi="Garamond"/>
          <w:sz w:val="24"/>
          <w:szCs w:val="24"/>
        </w:rPr>
        <w:t xml:space="preserve"> AAAA paras </w:t>
      </w:r>
      <w:r>
        <w:rPr>
          <w:rFonts w:ascii="Garamond" w:hAnsi="Garamond"/>
          <w:sz w:val="24"/>
          <w:szCs w:val="24"/>
        </w:rPr>
        <w:t>50</w:t>
      </w:r>
      <w:r w:rsidRPr="00A90ACE">
        <w:rPr>
          <w:rFonts w:ascii="Garamond" w:hAnsi="Garamond"/>
          <w:sz w:val="24"/>
          <w:szCs w:val="24"/>
        </w:rPr>
        <w:t>-</w:t>
      </w:r>
      <w:r>
        <w:rPr>
          <w:rFonts w:ascii="Garamond" w:hAnsi="Garamond"/>
          <w:sz w:val="24"/>
          <w:szCs w:val="24"/>
        </w:rPr>
        <w:t>5</w:t>
      </w:r>
      <w:r w:rsidRPr="00A90ACE">
        <w:rPr>
          <w:rFonts w:ascii="Garamond" w:hAnsi="Garamond"/>
          <w:sz w:val="24"/>
          <w:szCs w:val="24"/>
        </w:rPr>
        <w:t>8</w:t>
      </w:r>
      <w:r w:rsidRPr="004E2FF7">
        <w:rPr>
          <w:rFonts w:ascii="Garamond" w:hAnsi="Garamond"/>
          <w:sz w:val="24"/>
          <w:szCs w:val="24"/>
        </w:rPr>
        <w:t>)</w:t>
      </w:r>
      <w:r w:rsidRPr="00D0663B">
        <w:rPr>
          <w:rFonts w:ascii="Garamond" w:hAnsi="Garamond"/>
          <w:sz w:val="24"/>
          <w:szCs w:val="24"/>
        </w:rPr>
        <w:t>. It also contains commitments and actions on South-South cooperation, lending by multilateral development banks (MDBs) and other international development cooperation ef</w:t>
      </w:r>
      <w:r>
        <w:rPr>
          <w:rFonts w:ascii="Garamond" w:hAnsi="Garamond"/>
          <w:sz w:val="24"/>
          <w:szCs w:val="24"/>
        </w:rPr>
        <w:t>f</w:t>
      </w:r>
      <w:r w:rsidRPr="00D0663B">
        <w:rPr>
          <w:rFonts w:ascii="Garamond" w:hAnsi="Garamond"/>
          <w:sz w:val="24"/>
          <w:szCs w:val="24"/>
        </w:rPr>
        <w:t>orts.</w:t>
      </w:r>
    </w:p>
    <w:p w:rsidR="00970193" w:rsidRDefault="00970193" w:rsidP="00C26A15">
      <w:pPr>
        <w:autoSpaceDE w:val="0"/>
        <w:autoSpaceDN w:val="0"/>
        <w:adjustRightInd w:val="0"/>
        <w:spacing w:after="0" w:line="240" w:lineRule="auto"/>
        <w:jc w:val="both"/>
        <w:rPr>
          <w:rFonts w:ascii="Garamond" w:hAnsi="Garamond"/>
          <w:sz w:val="24"/>
          <w:szCs w:val="24"/>
        </w:rPr>
      </w:pPr>
    </w:p>
    <w:p w:rsidR="00970193" w:rsidRPr="002F35FB" w:rsidRDefault="0012545F" w:rsidP="00970193">
      <w:pPr>
        <w:pStyle w:val="Heading2"/>
        <w:rPr>
          <w:rFonts w:ascii="Garamond" w:hAnsi="Garamond"/>
          <w:b/>
          <w:sz w:val="24"/>
          <w:szCs w:val="24"/>
        </w:rPr>
      </w:pPr>
      <w:bookmarkStart w:id="71" w:name="_Toc486782276"/>
      <w:r w:rsidRPr="002F35FB">
        <w:rPr>
          <w:rFonts w:ascii="Garamond" w:hAnsi="Garamond"/>
          <w:b/>
          <w:sz w:val="24"/>
          <w:szCs w:val="24"/>
        </w:rPr>
        <w:t>6.1</w:t>
      </w:r>
      <w:r w:rsidR="00970193" w:rsidRPr="002F35FB">
        <w:rPr>
          <w:rFonts w:ascii="Garamond" w:hAnsi="Garamond"/>
          <w:b/>
          <w:sz w:val="24"/>
          <w:szCs w:val="24"/>
        </w:rPr>
        <w:t xml:space="preserve"> Official Development Assistance (ODA)</w:t>
      </w:r>
      <w:bookmarkEnd w:id="71"/>
    </w:p>
    <w:p w:rsidR="00C2003F" w:rsidRDefault="00C2003F" w:rsidP="00C26A15">
      <w:pPr>
        <w:autoSpaceDE w:val="0"/>
        <w:autoSpaceDN w:val="0"/>
        <w:adjustRightInd w:val="0"/>
        <w:spacing w:after="0" w:line="240" w:lineRule="auto"/>
        <w:jc w:val="both"/>
        <w:rPr>
          <w:rFonts w:ascii="Garamond" w:hAnsi="Garamond"/>
          <w:sz w:val="24"/>
          <w:szCs w:val="24"/>
        </w:rPr>
      </w:pPr>
    </w:p>
    <w:p w:rsidR="008046F4" w:rsidRDefault="008046F4" w:rsidP="00C26A15">
      <w:pPr>
        <w:autoSpaceDE w:val="0"/>
        <w:autoSpaceDN w:val="0"/>
        <w:adjustRightInd w:val="0"/>
        <w:spacing w:after="0" w:line="240" w:lineRule="auto"/>
        <w:jc w:val="both"/>
        <w:rPr>
          <w:rFonts w:ascii="Garamond" w:hAnsi="Garamond"/>
          <w:sz w:val="24"/>
          <w:szCs w:val="24"/>
        </w:rPr>
      </w:pPr>
      <w:r w:rsidRPr="00F11923">
        <w:rPr>
          <w:rFonts w:ascii="Garamond" w:hAnsi="Garamond"/>
          <w:sz w:val="24"/>
          <w:szCs w:val="24"/>
        </w:rPr>
        <w:t>The AAAA reaffirms the ODA goal</w:t>
      </w:r>
      <w:r w:rsidR="003D4642">
        <w:rPr>
          <w:rFonts w:ascii="Garamond" w:hAnsi="Garamond"/>
          <w:sz w:val="24"/>
          <w:szCs w:val="24"/>
        </w:rPr>
        <w:t>s</w:t>
      </w:r>
      <w:r w:rsidRPr="00F11923">
        <w:rPr>
          <w:rFonts w:ascii="Garamond" w:hAnsi="Garamond"/>
          <w:sz w:val="24"/>
          <w:szCs w:val="24"/>
        </w:rPr>
        <w:t xml:space="preserve"> of 0.7</w:t>
      </w:r>
      <w:r>
        <w:rPr>
          <w:rFonts w:ascii="Garamond" w:hAnsi="Garamond"/>
          <w:sz w:val="24"/>
          <w:szCs w:val="24"/>
        </w:rPr>
        <w:t xml:space="preserve"> percent </w:t>
      </w:r>
      <w:r w:rsidRPr="00F11923">
        <w:rPr>
          <w:rFonts w:ascii="Garamond" w:hAnsi="Garamond"/>
          <w:sz w:val="24"/>
          <w:szCs w:val="24"/>
        </w:rPr>
        <w:t xml:space="preserve">of </w:t>
      </w:r>
      <w:r w:rsidR="007068E8">
        <w:rPr>
          <w:rFonts w:ascii="Garamond" w:hAnsi="Garamond"/>
          <w:sz w:val="24"/>
          <w:szCs w:val="24"/>
        </w:rPr>
        <w:t>gross national income (</w:t>
      </w:r>
      <w:r w:rsidRPr="00F11923">
        <w:rPr>
          <w:rFonts w:ascii="Garamond" w:hAnsi="Garamond"/>
          <w:sz w:val="24"/>
          <w:szCs w:val="24"/>
        </w:rPr>
        <w:t>GNI</w:t>
      </w:r>
      <w:r w:rsidR="007068E8">
        <w:rPr>
          <w:rFonts w:ascii="Garamond" w:hAnsi="Garamond"/>
          <w:sz w:val="24"/>
          <w:szCs w:val="24"/>
        </w:rPr>
        <w:t>)</w:t>
      </w:r>
      <w:r w:rsidRPr="00F11923">
        <w:rPr>
          <w:rFonts w:ascii="Garamond" w:hAnsi="Garamond"/>
          <w:sz w:val="24"/>
          <w:szCs w:val="24"/>
        </w:rPr>
        <w:t xml:space="preserve"> for all developed countries and 0</w:t>
      </w:r>
      <w:r>
        <w:rPr>
          <w:rFonts w:ascii="Garamond" w:hAnsi="Garamond"/>
          <w:sz w:val="24"/>
          <w:szCs w:val="24"/>
        </w:rPr>
        <w:t>.</w:t>
      </w:r>
      <w:r w:rsidRPr="00F11923">
        <w:rPr>
          <w:rFonts w:ascii="Garamond" w:hAnsi="Garamond"/>
          <w:sz w:val="24"/>
          <w:szCs w:val="24"/>
        </w:rPr>
        <w:t>15-0.2</w:t>
      </w:r>
      <w:r>
        <w:rPr>
          <w:rFonts w:ascii="Garamond" w:hAnsi="Garamond"/>
          <w:sz w:val="24"/>
          <w:szCs w:val="24"/>
        </w:rPr>
        <w:t>0 percent</w:t>
      </w:r>
      <w:r w:rsidRPr="00F11923">
        <w:rPr>
          <w:rFonts w:ascii="Garamond" w:hAnsi="Garamond"/>
          <w:sz w:val="24"/>
          <w:szCs w:val="24"/>
        </w:rPr>
        <w:t xml:space="preserve"> of GNI for </w:t>
      </w:r>
      <w:r w:rsidR="007068E8">
        <w:rPr>
          <w:rFonts w:ascii="Garamond" w:hAnsi="Garamond"/>
          <w:sz w:val="24"/>
          <w:szCs w:val="24"/>
        </w:rPr>
        <w:t>Least Developed Countries (</w:t>
      </w:r>
      <w:r w:rsidRPr="00F11923">
        <w:rPr>
          <w:rFonts w:ascii="Garamond" w:hAnsi="Garamond"/>
          <w:sz w:val="24"/>
          <w:szCs w:val="24"/>
        </w:rPr>
        <w:t>LDCs</w:t>
      </w:r>
      <w:r w:rsidR="007068E8">
        <w:rPr>
          <w:rFonts w:ascii="Garamond" w:hAnsi="Garamond"/>
          <w:sz w:val="24"/>
          <w:szCs w:val="24"/>
        </w:rPr>
        <w:t>)</w:t>
      </w:r>
      <w:r w:rsidRPr="00F11923">
        <w:rPr>
          <w:rFonts w:ascii="Garamond" w:hAnsi="Garamond"/>
          <w:sz w:val="24"/>
          <w:szCs w:val="24"/>
        </w:rPr>
        <w:t>. These targets have not been met so far and there is nothing in the AAAA that would drive countries to meet those targets.</w:t>
      </w:r>
      <w:r w:rsidR="00C017D9">
        <w:rPr>
          <w:rStyle w:val="FootnoteReference"/>
          <w:rFonts w:ascii="Garamond" w:hAnsi="Garamond"/>
          <w:sz w:val="24"/>
          <w:szCs w:val="24"/>
        </w:rPr>
        <w:footnoteReference w:id="25"/>
      </w:r>
      <w:r w:rsidR="00C017D9">
        <w:rPr>
          <w:rFonts w:ascii="Garamond" w:hAnsi="Garamond"/>
          <w:sz w:val="24"/>
          <w:szCs w:val="24"/>
        </w:rPr>
        <w:t xml:space="preserve"> </w:t>
      </w:r>
      <w:r w:rsidRPr="00F11923">
        <w:rPr>
          <w:rFonts w:ascii="Garamond" w:hAnsi="Garamond"/>
          <w:sz w:val="24"/>
          <w:szCs w:val="24"/>
        </w:rPr>
        <w:t>There are a few notable European countries that have met the targets.</w:t>
      </w:r>
      <w:r>
        <w:rPr>
          <w:rFonts w:ascii="Garamond" w:hAnsi="Garamond"/>
          <w:sz w:val="24"/>
          <w:szCs w:val="24"/>
        </w:rPr>
        <w:t xml:space="preserve"> </w:t>
      </w:r>
      <w:r w:rsidRPr="00F23DD7">
        <w:rPr>
          <w:rFonts w:ascii="Garamond" w:hAnsi="Garamond"/>
          <w:sz w:val="24"/>
          <w:szCs w:val="24"/>
        </w:rPr>
        <w:t>International public finance, including official development assistance plays an important role in</w:t>
      </w:r>
      <w:r>
        <w:rPr>
          <w:rFonts w:ascii="Garamond" w:hAnsi="Garamond"/>
          <w:sz w:val="24"/>
          <w:szCs w:val="24"/>
        </w:rPr>
        <w:t xml:space="preserve"> </w:t>
      </w:r>
      <w:r w:rsidRPr="00F23DD7">
        <w:rPr>
          <w:rFonts w:ascii="Garamond" w:hAnsi="Garamond"/>
          <w:sz w:val="24"/>
          <w:szCs w:val="24"/>
        </w:rPr>
        <w:t>co</w:t>
      </w:r>
      <w:r>
        <w:rPr>
          <w:rFonts w:ascii="Garamond" w:hAnsi="Garamond"/>
          <w:sz w:val="24"/>
          <w:szCs w:val="24"/>
        </w:rPr>
        <w:t xml:space="preserve">mplementing efforts </w:t>
      </w:r>
      <w:r w:rsidR="007068E8" w:rsidRPr="00F23DD7">
        <w:rPr>
          <w:rFonts w:ascii="Garamond" w:hAnsi="Garamond"/>
          <w:sz w:val="24"/>
          <w:szCs w:val="24"/>
        </w:rPr>
        <w:t>to mobilize</w:t>
      </w:r>
      <w:r w:rsidRPr="00F23DD7">
        <w:rPr>
          <w:rFonts w:ascii="Garamond" w:hAnsi="Garamond"/>
          <w:sz w:val="24"/>
          <w:szCs w:val="24"/>
        </w:rPr>
        <w:t xml:space="preserve"> public resources domestically, </w:t>
      </w:r>
      <w:r w:rsidR="007068E8" w:rsidRPr="00F23DD7">
        <w:rPr>
          <w:rFonts w:ascii="Garamond" w:hAnsi="Garamond"/>
          <w:sz w:val="24"/>
          <w:szCs w:val="24"/>
        </w:rPr>
        <w:t xml:space="preserve">especially in </w:t>
      </w:r>
      <w:r w:rsidR="00BC6032">
        <w:rPr>
          <w:rFonts w:ascii="Garamond" w:hAnsi="Garamond"/>
          <w:sz w:val="24"/>
          <w:szCs w:val="24"/>
        </w:rPr>
        <w:t xml:space="preserve">developing </w:t>
      </w:r>
      <w:r w:rsidR="007068E8" w:rsidRPr="00F23DD7">
        <w:rPr>
          <w:rFonts w:ascii="Garamond" w:hAnsi="Garamond"/>
          <w:sz w:val="24"/>
          <w:szCs w:val="24"/>
        </w:rPr>
        <w:t>countries with</w:t>
      </w:r>
      <w:r w:rsidRPr="00F23DD7">
        <w:t xml:space="preserve"> </w:t>
      </w:r>
      <w:r w:rsidR="007068E8" w:rsidRPr="00F23DD7">
        <w:rPr>
          <w:rFonts w:ascii="Garamond" w:hAnsi="Garamond"/>
          <w:sz w:val="24"/>
          <w:szCs w:val="24"/>
        </w:rPr>
        <w:t>limited domestic resources</w:t>
      </w:r>
      <w:r w:rsidRPr="00F23DD7">
        <w:rPr>
          <w:rFonts w:ascii="Garamond" w:hAnsi="Garamond"/>
          <w:sz w:val="24"/>
          <w:szCs w:val="24"/>
        </w:rPr>
        <w:t xml:space="preserve">. Tapping into new partnerships and innovative sources of financing can also play a role in complementing </w:t>
      </w:r>
      <w:r w:rsidR="002F36F9">
        <w:rPr>
          <w:rFonts w:ascii="Garamond" w:hAnsi="Garamond"/>
          <w:sz w:val="24"/>
          <w:szCs w:val="24"/>
        </w:rPr>
        <w:t xml:space="preserve">public sources of financing </w:t>
      </w:r>
      <w:r w:rsidRPr="00F23DD7">
        <w:rPr>
          <w:rFonts w:ascii="Garamond" w:hAnsi="Garamond"/>
          <w:sz w:val="24"/>
          <w:szCs w:val="24"/>
        </w:rPr>
        <w:t>sustainable development.</w:t>
      </w:r>
    </w:p>
    <w:p w:rsidR="008046F4" w:rsidRDefault="008046F4"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In the case of external sources of finance, two categories can be identified: grants and loans and the latter can be concessional or non-concessional. </w:t>
      </w:r>
      <w:r w:rsidR="003C7DD9">
        <w:rPr>
          <w:rFonts w:ascii="Garamond" w:hAnsi="Garamond"/>
          <w:sz w:val="24"/>
          <w:szCs w:val="24"/>
        </w:rPr>
        <w:t>While t</w:t>
      </w:r>
      <w:r>
        <w:rPr>
          <w:rFonts w:ascii="Garamond" w:hAnsi="Garamond"/>
          <w:sz w:val="24"/>
          <w:szCs w:val="24"/>
        </w:rPr>
        <w:t>he federal government is allowed to borrow from external financial institutions</w:t>
      </w:r>
      <w:r w:rsidR="003C7DD9">
        <w:rPr>
          <w:rFonts w:ascii="Garamond" w:hAnsi="Garamond"/>
          <w:sz w:val="24"/>
          <w:szCs w:val="24"/>
        </w:rPr>
        <w:t xml:space="preserve">, </w:t>
      </w:r>
      <w:r>
        <w:rPr>
          <w:rFonts w:ascii="Garamond" w:hAnsi="Garamond"/>
          <w:sz w:val="24"/>
          <w:szCs w:val="24"/>
        </w:rPr>
        <w:t>State owned enterprises (SOEs) are also eligible to borrow from external financial institutions through government guarantee.</w:t>
      </w:r>
    </w:p>
    <w:p w:rsidR="0080125C" w:rsidRDefault="008046F4" w:rsidP="00EF46F9">
      <w:pPr>
        <w:autoSpaceDE w:val="0"/>
        <w:autoSpaceDN w:val="0"/>
        <w:adjustRightInd w:val="0"/>
        <w:spacing w:after="0" w:line="240" w:lineRule="auto"/>
        <w:jc w:val="both"/>
      </w:pPr>
      <w:r>
        <w:rPr>
          <w:rFonts w:ascii="Garamond" w:hAnsi="Garamond"/>
          <w:sz w:val="24"/>
          <w:szCs w:val="24"/>
        </w:rPr>
        <w:t>Although grants are important sources of finance in Ethiopia, their share in GDP has shown a declining trend. For instance, grants as a share of GDP declined from 3.2 percent in 2010/11</w:t>
      </w:r>
      <w:r w:rsidR="00BD14E2">
        <w:rPr>
          <w:rFonts w:ascii="Garamond" w:hAnsi="Garamond"/>
          <w:sz w:val="24"/>
          <w:szCs w:val="24"/>
        </w:rPr>
        <w:t xml:space="preserve"> </w:t>
      </w:r>
      <w:r>
        <w:rPr>
          <w:rFonts w:ascii="Garamond" w:hAnsi="Garamond"/>
          <w:sz w:val="24"/>
          <w:szCs w:val="24"/>
        </w:rPr>
        <w:t>to 0.9 percent in 2015/16. On the other hand, loans as a share of GDP slightly increased from 1.6 percent to 1.9 percent. In absolute level, loans increased from ETB 8.4 billion to ETB 28.2 billion. It appears that loans have become an important source of government finance</w:t>
      </w:r>
      <w:r w:rsidR="00263B98">
        <w:rPr>
          <w:rFonts w:ascii="Garamond" w:hAnsi="Garamond"/>
          <w:sz w:val="24"/>
          <w:szCs w:val="24"/>
        </w:rPr>
        <w:t xml:space="preserve"> in Ethiopia</w:t>
      </w:r>
      <w:r>
        <w:rPr>
          <w:rFonts w:ascii="Garamond" w:hAnsi="Garamond"/>
          <w:sz w:val="24"/>
          <w:szCs w:val="24"/>
        </w:rPr>
        <w:t xml:space="preserve">. </w:t>
      </w:r>
    </w:p>
    <w:p w:rsidR="008046F4" w:rsidRPr="003C7DD9" w:rsidRDefault="008046F4" w:rsidP="00C26A15">
      <w:pPr>
        <w:pStyle w:val="Caption"/>
        <w:spacing w:after="0"/>
        <w:rPr>
          <w:rFonts w:ascii="Garamond" w:hAnsi="Garamond"/>
          <w:sz w:val="22"/>
          <w:szCs w:val="22"/>
        </w:rPr>
      </w:pPr>
      <w:bookmarkStart w:id="72" w:name="_Toc486585957"/>
      <w:r w:rsidRPr="003C7DD9">
        <w:rPr>
          <w:rFonts w:ascii="Garamond" w:hAnsi="Garamond"/>
          <w:sz w:val="22"/>
          <w:szCs w:val="22"/>
        </w:rPr>
        <w:t xml:space="preserve">Figure </w:t>
      </w:r>
      <w:r w:rsidR="00BF3BBC" w:rsidRPr="003C7DD9">
        <w:rPr>
          <w:rFonts w:ascii="Garamond" w:hAnsi="Garamond"/>
          <w:sz w:val="22"/>
          <w:szCs w:val="22"/>
        </w:rPr>
        <w:fldChar w:fldCharType="begin"/>
      </w:r>
      <w:r w:rsidR="00075FD8" w:rsidRPr="003C7DD9">
        <w:rPr>
          <w:rFonts w:ascii="Garamond" w:hAnsi="Garamond"/>
          <w:sz w:val="22"/>
          <w:szCs w:val="22"/>
        </w:rPr>
        <w:instrText xml:space="preserve"> SEQ Figure \* ARABIC </w:instrText>
      </w:r>
      <w:r w:rsidR="00BF3BBC" w:rsidRPr="003C7DD9">
        <w:rPr>
          <w:rFonts w:ascii="Garamond" w:hAnsi="Garamond"/>
          <w:sz w:val="22"/>
          <w:szCs w:val="22"/>
        </w:rPr>
        <w:fldChar w:fldCharType="separate"/>
      </w:r>
      <w:r w:rsidR="006C24A4">
        <w:rPr>
          <w:rFonts w:ascii="Garamond" w:hAnsi="Garamond"/>
          <w:noProof/>
          <w:sz w:val="22"/>
          <w:szCs w:val="22"/>
        </w:rPr>
        <w:t>22</w:t>
      </w:r>
      <w:r w:rsidR="00BF3BBC" w:rsidRPr="003C7DD9">
        <w:rPr>
          <w:rFonts w:ascii="Garamond" w:hAnsi="Garamond"/>
          <w:sz w:val="22"/>
          <w:szCs w:val="22"/>
        </w:rPr>
        <w:fldChar w:fldCharType="end"/>
      </w:r>
      <w:r w:rsidRPr="003C7DD9">
        <w:rPr>
          <w:rFonts w:ascii="Garamond" w:hAnsi="Garamond"/>
          <w:sz w:val="22"/>
          <w:szCs w:val="22"/>
        </w:rPr>
        <w:t>: Grants and loans as a share of GDP (Percent)</w:t>
      </w:r>
      <w:bookmarkEnd w:id="72"/>
    </w:p>
    <w:p w:rsidR="008046F4" w:rsidRPr="00A15573" w:rsidRDefault="008046F4" w:rsidP="00C26A15">
      <w:pPr>
        <w:autoSpaceDE w:val="0"/>
        <w:autoSpaceDN w:val="0"/>
        <w:adjustRightInd w:val="0"/>
        <w:spacing w:after="0" w:line="240" w:lineRule="auto"/>
        <w:jc w:val="both"/>
        <w:rPr>
          <w:rFonts w:ascii="Garamond" w:hAnsi="Garamond"/>
          <w:b/>
          <w:sz w:val="24"/>
          <w:szCs w:val="24"/>
        </w:rPr>
      </w:pPr>
      <w:r>
        <w:rPr>
          <w:noProof/>
        </w:rPr>
        <w:drawing>
          <wp:inline distT="0" distB="0" distL="0" distR="0">
            <wp:extent cx="5969000" cy="1943100"/>
            <wp:effectExtent l="0" t="0" r="12700" b="0"/>
            <wp:docPr id="2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046F4" w:rsidRDefault="008046F4" w:rsidP="00C26A15">
      <w:pPr>
        <w:autoSpaceDE w:val="0"/>
        <w:autoSpaceDN w:val="0"/>
        <w:adjustRightInd w:val="0"/>
        <w:spacing w:after="0" w:line="240" w:lineRule="auto"/>
        <w:jc w:val="both"/>
        <w:rPr>
          <w:rFonts w:ascii="Garamond" w:hAnsi="Garamond"/>
        </w:rPr>
      </w:pPr>
      <w:r w:rsidRPr="00D43661">
        <w:rPr>
          <w:rFonts w:ascii="Garamond" w:hAnsi="Garamond"/>
        </w:rPr>
        <w:t>Source: Based on MoFEC data</w:t>
      </w:r>
    </w:p>
    <w:p w:rsidR="00CE7781" w:rsidRDefault="0097240B" w:rsidP="00C26A15">
      <w:pPr>
        <w:spacing w:after="0" w:line="240" w:lineRule="auto"/>
        <w:jc w:val="both"/>
        <w:rPr>
          <w:rFonts w:ascii="Garamond" w:hAnsi="Garamond"/>
          <w:sz w:val="24"/>
          <w:szCs w:val="24"/>
        </w:rPr>
      </w:pPr>
      <w:r w:rsidRPr="001F09D7">
        <w:rPr>
          <w:rFonts w:ascii="Garamond" w:hAnsi="Garamond"/>
          <w:sz w:val="24"/>
          <w:szCs w:val="24"/>
        </w:rPr>
        <w:t>Note that both grant commitment and d</w:t>
      </w:r>
      <w:r w:rsidR="00DB4527" w:rsidRPr="001F09D7">
        <w:rPr>
          <w:rFonts w:ascii="Garamond" w:hAnsi="Garamond"/>
          <w:sz w:val="24"/>
          <w:szCs w:val="24"/>
        </w:rPr>
        <w:t xml:space="preserve">isbursements </w:t>
      </w:r>
      <w:r w:rsidRPr="001F09D7">
        <w:rPr>
          <w:rFonts w:ascii="Garamond" w:hAnsi="Garamond"/>
          <w:sz w:val="24"/>
          <w:szCs w:val="24"/>
        </w:rPr>
        <w:t xml:space="preserve">declined between 2010/11 and 2015/16. For instance, grant commitment declined from USD 3.7 billion in 2010/11 to </w:t>
      </w:r>
      <w:r w:rsidR="006673C6" w:rsidRPr="001F09D7">
        <w:rPr>
          <w:rFonts w:ascii="Garamond" w:hAnsi="Garamond"/>
          <w:sz w:val="24"/>
          <w:szCs w:val="24"/>
        </w:rPr>
        <w:t xml:space="preserve">USD 1.4 billion in </w:t>
      </w:r>
      <w:r w:rsidR="006673C6" w:rsidRPr="001F09D7">
        <w:rPr>
          <w:rFonts w:ascii="Garamond" w:hAnsi="Garamond"/>
          <w:sz w:val="24"/>
          <w:szCs w:val="24"/>
        </w:rPr>
        <w:lastRenderedPageBreak/>
        <w:t xml:space="preserve">2015/6. </w:t>
      </w:r>
      <w:r w:rsidR="001F09D7" w:rsidRPr="001F09D7">
        <w:rPr>
          <w:rFonts w:ascii="Garamond" w:hAnsi="Garamond"/>
          <w:sz w:val="24"/>
          <w:szCs w:val="24"/>
        </w:rPr>
        <w:t xml:space="preserve"> Grant disbursed as a share of commitment was 80 percent in 2015/16. </w:t>
      </w:r>
      <w:r w:rsidR="006E1348">
        <w:rPr>
          <w:rFonts w:ascii="Garamond" w:hAnsi="Garamond"/>
          <w:sz w:val="24"/>
          <w:szCs w:val="24"/>
        </w:rPr>
        <w:t xml:space="preserve">Although </w:t>
      </w:r>
      <w:r w:rsidR="001F09D7" w:rsidRPr="001F09D7">
        <w:rPr>
          <w:rFonts w:ascii="Garamond" w:hAnsi="Garamond"/>
          <w:sz w:val="24"/>
          <w:szCs w:val="24"/>
        </w:rPr>
        <w:t xml:space="preserve">loan commitment and disbursement improved, the </w:t>
      </w:r>
      <w:r w:rsidR="001F09D7">
        <w:rPr>
          <w:rFonts w:ascii="Garamond" w:hAnsi="Garamond"/>
          <w:sz w:val="24"/>
          <w:szCs w:val="24"/>
        </w:rPr>
        <w:t xml:space="preserve">amount </w:t>
      </w:r>
      <w:r w:rsidR="001F09D7" w:rsidRPr="001F09D7">
        <w:rPr>
          <w:rFonts w:ascii="Garamond" w:hAnsi="Garamond"/>
          <w:sz w:val="24"/>
          <w:szCs w:val="24"/>
        </w:rPr>
        <w:t>of loan disbursed fall short of commitment</w:t>
      </w:r>
      <w:r w:rsidR="001F09D7">
        <w:rPr>
          <w:rFonts w:ascii="Garamond" w:hAnsi="Garamond"/>
          <w:sz w:val="24"/>
          <w:szCs w:val="24"/>
        </w:rPr>
        <w:t>s</w:t>
      </w:r>
      <w:r w:rsidR="001F09D7" w:rsidRPr="001F09D7">
        <w:rPr>
          <w:rFonts w:ascii="Garamond" w:hAnsi="Garamond"/>
          <w:sz w:val="24"/>
          <w:szCs w:val="24"/>
        </w:rPr>
        <w:t xml:space="preserve">. In 2015/16, loan disbursed as a share of commitment was </w:t>
      </w:r>
      <w:r w:rsidR="003238A6">
        <w:rPr>
          <w:rFonts w:ascii="Garamond" w:hAnsi="Garamond"/>
          <w:sz w:val="24"/>
          <w:szCs w:val="24"/>
        </w:rPr>
        <w:t xml:space="preserve">only </w:t>
      </w:r>
      <w:r w:rsidR="001F09D7" w:rsidRPr="001F09D7">
        <w:rPr>
          <w:rFonts w:ascii="Garamond" w:hAnsi="Garamond"/>
          <w:sz w:val="24"/>
          <w:szCs w:val="24"/>
        </w:rPr>
        <w:t>60 percent</w:t>
      </w:r>
      <w:r w:rsidR="00136504">
        <w:rPr>
          <w:rFonts w:ascii="Garamond" w:hAnsi="Garamond"/>
          <w:sz w:val="24"/>
          <w:szCs w:val="24"/>
        </w:rPr>
        <w:t xml:space="preserve"> regardless of the </w:t>
      </w:r>
      <w:r w:rsidR="009F53AD">
        <w:rPr>
          <w:rFonts w:ascii="Garamond" w:hAnsi="Garamond"/>
          <w:sz w:val="24"/>
          <w:szCs w:val="24"/>
        </w:rPr>
        <w:t>type of loan provider (Figure 2</w:t>
      </w:r>
      <w:r w:rsidR="00D562A0">
        <w:rPr>
          <w:rFonts w:ascii="Garamond" w:hAnsi="Garamond"/>
          <w:sz w:val="24"/>
          <w:szCs w:val="24"/>
        </w:rPr>
        <w:t>3</w:t>
      </w:r>
      <w:r w:rsidR="00136504">
        <w:rPr>
          <w:rFonts w:ascii="Garamond" w:hAnsi="Garamond"/>
          <w:sz w:val="24"/>
          <w:szCs w:val="24"/>
        </w:rPr>
        <w:t>)</w:t>
      </w:r>
      <w:r w:rsidR="00A33FE7" w:rsidRPr="001F09D7">
        <w:rPr>
          <w:rFonts w:ascii="Garamond" w:hAnsi="Garamond"/>
          <w:sz w:val="24"/>
          <w:szCs w:val="24"/>
        </w:rPr>
        <w:t>.</w:t>
      </w:r>
      <w:r w:rsidR="003238A6">
        <w:rPr>
          <w:rFonts w:ascii="Garamond" w:hAnsi="Garamond"/>
          <w:sz w:val="24"/>
          <w:szCs w:val="24"/>
        </w:rPr>
        <w:t xml:space="preserve"> </w:t>
      </w:r>
      <w:r w:rsidR="00CB424A">
        <w:rPr>
          <w:rFonts w:ascii="Garamond" w:hAnsi="Garamond"/>
          <w:sz w:val="24"/>
          <w:szCs w:val="24"/>
        </w:rPr>
        <w:t>B</w:t>
      </w:r>
      <w:r w:rsidR="00223E77">
        <w:rPr>
          <w:rFonts w:ascii="Garamond" w:hAnsi="Garamond"/>
          <w:sz w:val="24"/>
          <w:szCs w:val="24"/>
        </w:rPr>
        <w:t xml:space="preserve">etween 2010/11 and 2015/6, loan disbursed accounted for about 54 percent of </w:t>
      </w:r>
      <w:r w:rsidR="009E0E89">
        <w:rPr>
          <w:rFonts w:ascii="Garamond" w:hAnsi="Garamond"/>
          <w:sz w:val="24"/>
          <w:szCs w:val="24"/>
        </w:rPr>
        <w:t xml:space="preserve">the </w:t>
      </w:r>
      <w:r w:rsidR="00223E77">
        <w:rPr>
          <w:rFonts w:ascii="Garamond" w:hAnsi="Garamond"/>
          <w:sz w:val="24"/>
          <w:szCs w:val="24"/>
        </w:rPr>
        <w:t>commit</w:t>
      </w:r>
      <w:r w:rsidR="007068E8">
        <w:rPr>
          <w:rFonts w:ascii="Garamond" w:hAnsi="Garamond"/>
          <w:sz w:val="24"/>
          <w:szCs w:val="24"/>
        </w:rPr>
        <w:t>ted fund</w:t>
      </w:r>
      <w:r w:rsidR="00223E77">
        <w:rPr>
          <w:rFonts w:ascii="Garamond" w:hAnsi="Garamond"/>
          <w:sz w:val="24"/>
          <w:szCs w:val="24"/>
        </w:rPr>
        <w:t>, indicating pledges have not been translated into actions.</w:t>
      </w:r>
      <w:r w:rsidR="001A4C18">
        <w:rPr>
          <w:rFonts w:ascii="Garamond" w:hAnsi="Garamond"/>
          <w:sz w:val="24"/>
          <w:szCs w:val="24"/>
        </w:rPr>
        <w:t xml:space="preserve"> </w:t>
      </w:r>
      <w:r w:rsidR="003B4622">
        <w:rPr>
          <w:rFonts w:ascii="Garamond" w:hAnsi="Garamond"/>
          <w:sz w:val="24"/>
          <w:szCs w:val="24"/>
        </w:rPr>
        <w:t xml:space="preserve">Discussions with stakeholders indicate that part of the delay in </w:t>
      </w:r>
      <w:r w:rsidR="00501323">
        <w:rPr>
          <w:rFonts w:ascii="Garamond" w:hAnsi="Garamond"/>
          <w:sz w:val="24"/>
          <w:szCs w:val="24"/>
        </w:rPr>
        <w:t xml:space="preserve">fund </w:t>
      </w:r>
      <w:r w:rsidR="003B4622">
        <w:rPr>
          <w:rFonts w:ascii="Garamond" w:hAnsi="Garamond"/>
          <w:sz w:val="24"/>
          <w:szCs w:val="24"/>
        </w:rPr>
        <w:t xml:space="preserve">disbursement is due to </w:t>
      </w:r>
      <w:r w:rsidR="00785BDE">
        <w:rPr>
          <w:rFonts w:ascii="Garamond" w:hAnsi="Garamond"/>
          <w:sz w:val="24"/>
          <w:szCs w:val="24"/>
        </w:rPr>
        <w:t xml:space="preserve">weak </w:t>
      </w:r>
      <w:r w:rsidR="00501323">
        <w:rPr>
          <w:rFonts w:ascii="Garamond" w:hAnsi="Garamond"/>
          <w:sz w:val="24"/>
          <w:szCs w:val="24"/>
        </w:rPr>
        <w:t xml:space="preserve">performance of </w:t>
      </w:r>
      <w:r w:rsidR="00A557DB">
        <w:rPr>
          <w:rFonts w:ascii="Garamond" w:hAnsi="Garamond"/>
          <w:sz w:val="24"/>
          <w:szCs w:val="24"/>
        </w:rPr>
        <w:t xml:space="preserve">implementing development </w:t>
      </w:r>
      <w:r w:rsidR="00273A18">
        <w:rPr>
          <w:rFonts w:ascii="Garamond" w:hAnsi="Garamond"/>
          <w:sz w:val="24"/>
          <w:szCs w:val="24"/>
        </w:rPr>
        <w:t xml:space="preserve">projects. </w:t>
      </w:r>
      <w:r w:rsidR="00D6696B">
        <w:rPr>
          <w:rFonts w:ascii="Garamond" w:hAnsi="Garamond"/>
          <w:sz w:val="24"/>
          <w:szCs w:val="24"/>
        </w:rPr>
        <w:t>R</w:t>
      </w:r>
      <w:r w:rsidR="00CE7781" w:rsidRPr="00B045E7">
        <w:rPr>
          <w:rFonts w:ascii="Garamond" w:hAnsi="Garamond"/>
          <w:sz w:val="24"/>
          <w:szCs w:val="24"/>
        </w:rPr>
        <w:t xml:space="preserve">eliance on international assistance is problematic in a structural sense, since grant </w:t>
      </w:r>
      <w:r w:rsidR="00CE7781">
        <w:rPr>
          <w:rFonts w:ascii="Garamond" w:hAnsi="Garamond"/>
          <w:sz w:val="24"/>
          <w:szCs w:val="24"/>
        </w:rPr>
        <w:t xml:space="preserve">and loans </w:t>
      </w:r>
      <w:r w:rsidR="00CE7781" w:rsidRPr="00B045E7">
        <w:rPr>
          <w:rFonts w:ascii="Garamond" w:hAnsi="Garamond"/>
          <w:sz w:val="24"/>
          <w:szCs w:val="24"/>
        </w:rPr>
        <w:t xml:space="preserve">come with </w:t>
      </w:r>
      <w:r w:rsidR="00CE7781">
        <w:rPr>
          <w:rFonts w:ascii="Garamond" w:hAnsi="Garamond"/>
          <w:sz w:val="24"/>
          <w:szCs w:val="24"/>
        </w:rPr>
        <w:t xml:space="preserve">their </w:t>
      </w:r>
      <w:r w:rsidR="00CE7781" w:rsidRPr="00B045E7">
        <w:rPr>
          <w:rFonts w:ascii="Garamond" w:hAnsi="Garamond"/>
          <w:sz w:val="24"/>
          <w:szCs w:val="24"/>
        </w:rPr>
        <w:t>own problems: it tends to be fragmented (</w:t>
      </w:r>
      <w:r w:rsidR="00CE7781">
        <w:rPr>
          <w:rFonts w:ascii="Garamond" w:hAnsi="Garamond"/>
          <w:sz w:val="24"/>
          <w:szCs w:val="24"/>
        </w:rPr>
        <w:t xml:space="preserve">due to existence of </w:t>
      </w:r>
      <w:r w:rsidR="00CE7781" w:rsidRPr="00B045E7">
        <w:rPr>
          <w:rFonts w:ascii="Garamond" w:hAnsi="Garamond"/>
          <w:sz w:val="24"/>
          <w:szCs w:val="24"/>
        </w:rPr>
        <w:t>multilateral</w:t>
      </w:r>
      <w:r w:rsidR="00CE7781">
        <w:rPr>
          <w:rFonts w:ascii="Garamond" w:hAnsi="Garamond"/>
          <w:sz w:val="24"/>
          <w:szCs w:val="24"/>
        </w:rPr>
        <w:t xml:space="preserve"> and </w:t>
      </w:r>
      <w:r w:rsidR="00CE7781" w:rsidRPr="00B045E7">
        <w:rPr>
          <w:rFonts w:ascii="Garamond" w:hAnsi="Garamond"/>
          <w:sz w:val="24"/>
          <w:szCs w:val="24"/>
        </w:rPr>
        <w:t>bilateral programs), which raises coordination issues and places administrative demands on Ethiopia’s public service</w:t>
      </w:r>
      <w:r w:rsidR="00CE7781">
        <w:rPr>
          <w:rFonts w:ascii="Garamond" w:hAnsi="Garamond"/>
          <w:sz w:val="24"/>
          <w:szCs w:val="24"/>
        </w:rPr>
        <w:t>s</w:t>
      </w:r>
      <w:r w:rsidR="00CE7781" w:rsidRPr="00B045E7">
        <w:rPr>
          <w:rFonts w:ascii="Garamond" w:hAnsi="Garamond"/>
          <w:sz w:val="24"/>
          <w:szCs w:val="24"/>
        </w:rPr>
        <w:t xml:space="preserve">; </w:t>
      </w:r>
      <w:r w:rsidR="00CE7781">
        <w:rPr>
          <w:rFonts w:ascii="Garamond" w:hAnsi="Garamond"/>
          <w:sz w:val="24"/>
          <w:szCs w:val="24"/>
        </w:rPr>
        <w:t xml:space="preserve">these </w:t>
      </w:r>
      <w:r w:rsidR="00CE7781" w:rsidRPr="00B045E7">
        <w:rPr>
          <w:rFonts w:ascii="Garamond" w:hAnsi="Garamond"/>
          <w:sz w:val="24"/>
          <w:szCs w:val="24"/>
        </w:rPr>
        <w:t xml:space="preserve">often </w:t>
      </w:r>
      <w:r w:rsidR="00CE7781">
        <w:rPr>
          <w:rFonts w:ascii="Garamond" w:hAnsi="Garamond"/>
          <w:sz w:val="24"/>
          <w:szCs w:val="24"/>
        </w:rPr>
        <w:t>come</w:t>
      </w:r>
      <w:r w:rsidR="00CE7781" w:rsidRPr="00B045E7">
        <w:rPr>
          <w:rFonts w:ascii="Garamond" w:hAnsi="Garamond"/>
          <w:sz w:val="24"/>
          <w:szCs w:val="24"/>
        </w:rPr>
        <w:t xml:space="preserve"> with strings attached (e.g. tied to procurement requirements); and </w:t>
      </w:r>
      <w:r w:rsidR="00CE7781">
        <w:rPr>
          <w:rFonts w:ascii="Garamond" w:hAnsi="Garamond"/>
          <w:sz w:val="24"/>
          <w:szCs w:val="24"/>
        </w:rPr>
        <w:t xml:space="preserve">more importantly, grants and loans </w:t>
      </w:r>
      <w:r w:rsidR="00CE7781" w:rsidRPr="00B045E7">
        <w:rPr>
          <w:rFonts w:ascii="Garamond" w:hAnsi="Garamond"/>
          <w:sz w:val="24"/>
          <w:szCs w:val="24"/>
        </w:rPr>
        <w:t>tends to be volatile and pro-cyclical, reflecting cyclical fiscal pressures in donor countries</w:t>
      </w:r>
      <w:r w:rsidR="00A74C80">
        <w:rPr>
          <w:rFonts w:ascii="Garamond" w:hAnsi="Garamond"/>
          <w:sz w:val="24"/>
          <w:szCs w:val="24"/>
        </w:rPr>
        <w:t xml:space="preserve"> (Derk </w:t>
      </w:r>
      <w:r w:rsidR="00A74C80" w:rsidRPr="00A74C80">
        <w:rPr>
          <w:rFonts w:ascii="Garamond" w:hAnsi="Garamond"/>
          <w:i/>
          <w:sz w:val="24"/>
          <w:szCs w:val="24"/>
        </w:rPr>
        <w:t>et al</w:t>
      </w:r>
      <w:r w:rsidR="00CE7781">
        <w:rPr>
          <w:rFonts w:ascii="Garamond" w:hAnsi="Garamond"/>
          <w:sz w:val="24"/>
          <w:szCs w:val="24"/>
        </w:rPr>
        <w:t>.</w:t>
      </w:r>
      <w:r w:rsidR="00A74C80">
        <w:rPr>
          <w:rFonts w:ascii="Garamond" w:hAnsi="Garamond"/>
          <w:sz w:val="24"/>
          <w:szCs w:val="24"/>
        </w:rPr>
        <w:t>, 2014).</w:t>
      </w:r>
      <w:r w:rsidR="00CE7781">
        <w:rPr>
          <w:rFonts w:ascii="Garamond" w:hAnsi="Garamond"/>
          <w:sz w:val="24"/>
          <w:szCs w:val="24"/>
        </w:rPr>
        <w:t xml:space="preserve"> </w:t>
      </w:r>
    </w:p>
    <w:p w:rsidR="000E412F" w:rsidRPr="00223E77" w:rsidRDefault="00A33FE7" w:rsidP="00C26A15">
      <w:pPr>
        <w:pStyle w:val="Caption"/>
        <w:pBdr>
          <w:bottom w:val="single" w:sz="4" w:space="1" w:color="auto"/>
        </w:pBdr>
        <w:spacing w:after="0"/>
        <w:rPr>
          <w:rFonts w:ascii="Garamond" w:hAnsi="Garamond"/>
          <w:sz w:val="22"/>
          <w:szCs w:val="22"/>
        </w:rPr>
      </w:pPr>
      <w:bookmarkStart w:id="73" w:name="_Toc486585971"/>
      <w:r w:rsidRPr="00223E77">
        <w:rPr>
          <w:rFonts w:ascii="Garamond" w:hAnsi="Garamond"/>
          <w:sz w:val="22"/>
          <w:szCs w:val="22"/>
        </w:rPr>
        <w:t>Table</w:t>
      </w:r>
      <w:r w:rsidR="00223E77" w:rsidRPr="00223E77">
        <w:rPr>
          <w:rFonts w:ascii="Garamond" w:hAnsi="Garamond"/>
          <w:sz w:val="22"/>
          <w:szCs w:val="22"/>
        </w:rPr>
        <w:t xml:space="preserve"> </w:t>
      </w:r>
      <w:r w:rsidR="00BF3BBC" w:rsidRPr="00223E77">
        <w:rPr>
          <w:rFonts w:ascii="Garamond" w:hAnsi="Garamond"/>
          <w:sz w:val="22"/>
          <w:szCs w:val="22"/>
        </w:rPr>
        <w:fldChar w:fldCharType="begin"/>
      </w:r>
      <w:r w:rsidR="00223E77" w:rsidRPr="00223E77">
        <w:rPr>
          <w:rFonts w:ascii="Garamond" w:hAnsi="Garamond"/>
          <w:sz w:val="22"/>
          <w:szCs w:val="22"/>
        </w:rPr>
        <w:instrText xml:space="preserve"> SEQ Table \* ARABIC </w:instrText>
      </w:r>
      <w:r w:rsidR="00BF3BBC" w:rsidRPr="00223E77">
        <w:rPr>
          <w:rFonts w:ascii="Garamond" w:hAnsi="Garamond"/>
          <w:sz w:val="22"/>
          <w:szCs w:val="22"/>
        </w:rPr>
        <w:fldChar w:fldCharType="separate"/>
      </w:r>
      <w:r w:rsidR="00051FC4">
        <w:rPr>
          <w:rFonts w:ascii="Garamond" w:hAnsi="Garamond"/>
          <w:noProof/>
          <w:sz w:val="22"/>
          <w:szCs w:val="22"/>
        </w:rPr>
        <w:t>1</w:t>
      </w:r>
      <w:r w:rsidR="00BF3BBC" w:rsidRPr="00223E77">
        <w:rPr>
          <w:rFonts w:ascii="Garamond" w:hAnsi="Garamond"/>
          <w:sz w:val="22"/>
          <w:szCs w:val="22"/>
        </w:rPr>
        <w:fldChar w:fldCharType="end"/>
      </w:r>
      <w:r w:rsidRPr="00223E77">
        <w:rPr>
          <w:rFonts w:ascii="Garamond" w:hAnsi="Garamond"/>
          <w:sz w:val="22"/>
          <w:szCs w:val="22"/>
        </w:rPr>
        <w:t>: Grant</w:t>
      </w:r>
      <w:r w:rsidR="0097240B" w:rsidRPr="00223E77">
        <w:rPr>
          <w:rFonts w:ascii="Garamond" w:hAnsi="Garamond"/>
          <w:sz w:val="22"/>
          <w:szCs w:val="22"/>
        </w:rPr>
        <w:t xml:space="preserve"> and loan</w:t>
      </w:r>
      <w:r w:rsidRPr="00223E77">
        <w:rPr>
          <w:rFonts w:ascii="Garamond" w:hAnsi="Garamond"/>
          <w:sz w:val="22"/>
          <w:szCs w:val="22"/>
        </w:rPr>
        <w:t xml:space="preserve"> commitment and disbursement</w:t>
      </w:r>
      <w:r w:rsidR="006673C6" w:rsidRPr="00223E77">
        <w:rPr>
          <w:rFonts w:ascii="Garamond" w:hAnsi="Garamond"/>
          <w:sz w:val="22"/>
          <w:szCs w:val="22"/>
        </w:rPr>
        <w:t xml:space="preserve"> (Million USD)</w:t>
      </w:r>
      <w:bookmarkEnd w:id="73"/>
    </w:p>
    <w:tbl>
      <w:tblPr>
        <w:tblW w:w="7700" w:type="dxa"/>
        <w:tblLook w:val="04A0" w:firstRow="1" w:lastRow="0" w:firstColumn="1" w:lastColumn="0" w:noHBand="0" w:noVBand="1"/>
      </w:tblPr>
      <w:tblGrid>
        <w:gridCol w:w="2040"/>
        <w:gridCol w:w="1360"/>
        <w:gridCol w:w="1520"/>
        <w:gridCol w:w="1360"/>
        <w:gridCol w:w="1420"/>
      </w:tblGrid>
      <w:tr w:rsidR="009E0E89" w:rsidRPr="0097240B" w:rsidTr="009E0E89">
        <w:trPr>
          <w:trHeight w:val="60"/>
        </w:trPr>
        <w:tc>
          <w:tcPr>
            <w:tcW w:w="2040" w:type="dxa"/>
            <w:tcBorders>
              <w:top w:val="nil"/>
              <w:left w:val="nil"/>
              <w:bottom w:val="nil"/>
              <w:right w:val="nil"/>
            </w:tcBorders>
            <w:shd w:val="clear" w:color="auto" w:fill="auto"/>
            <w:noWrap/>
            <w:vAlign w:val="bottom"/>
            <w:hideMark/>
          </w:tcPr>
          <w:p w:rsidR="009E0E89" w:rsidRPr="0097240B" w:rsidRDefault="009E0E89" w:rsidP="00C26A15">
            <w:pPr>
              <w:spacing w:after="0" w:line="240" w:lineRule="auto"/>
              <w:rPr>
                <w:rFonts w:ascii="Garamond" w:hAnsi="Garamond"/>
                <w:sz w:val="24"/>
                <w:szCs w:val="24"/>
              </w:rPr>
            </w:pPr>
          </w:p>
        </w:tc>
        <w:tc>
          <w:tcPr>
            <w:tcW w:w="2880" w:type="dxa"/>
            <w:gridSpan w:val="2"/>
            <w:tcBorders>
              <w:top w:val="nil"/>
              <w:left w:val="nil"/>
              <w:bottom w:val="single" w:sz="4" w:space="0" w:color="auto"/>
              <w:right w:val="nil"/>
            </w:tcBorders>
            <w:shd w:val="clear" w:color="auto" w:fill="auto"/>
            <w:noWrap/>
            <w:vAlign w:val="bottom"/>
            <w:hideMark/>
          </w:tcPr>
          <w:p w:rsidR="009E0E89" w:rsidRPr="0097240B" w:rsidRDefault="009E0E89" w:rsidP="00C26A15">
            <w:pPr>
              <w:spacing w:after="0" w:line="240" w:lineRule="auto"/>
              <w:jc w:val="center"/>
              <w:rPr>
                <w:rFonts w:ascii="Garamond" w:hAnsi="Garamond"/>
                <w:color w:val="000000"/>
              </w:rPr>
            </w:pPr>
            <w:r w:rsidRPr="0097240B">
              <w:rPr>
                <w:rFonts w:ascii="Garamond" w:hAnsi="Garamond"/>
                <w:color w:val="000000"/>
              </w:rPr>
              <w:t>Grants</w:t>
            </w:r>
          </w:p>
        </w:tc>
        <w:tc>
          <w:tcPr>
            <w:tcW w:w="2780" w:type="dxa"/>
            <w:gridSpan w:val="2"/>
            <w:tcBorders>
              <w:top w:val="nil"/>
              <w:left w:val="nil"/>
              <w:bottom w:val="single" w:sz="4" w:space="0" w:color="auto"/>
              <w:right w:val="nil"/>
            </w:tcBorders>
            <w:shd w:val="clear" w:color="auto" w:fill="auto"/>
            <w:noWrap/>
            <w:vAlign w:val="bottom"/>
            <w:hideMark/>
          </w:tcPr>
          <w:p w:rsidR="009E0E89" w:rsidRPr="0097240B" w:rsidRDefault="009E0E89" w:rsidP="00C26A15">
            <w:pPr>
              <w:spacing w:after="0" w:line="240" w:lineRule="auto"/>
              <w:jc w:val="center"/>
              <w:rPr>
                <w:rFonts w:ascii="Garamond" w:hAnsi="Garamond"/>
                <w:color w:val="000000"/>
              </w:rPr>
            </w:pPr>
            <w:r w:rsidRPr="0097240B">
              <w:rPr>
                <w:rFonts w:ascii="Garamond" w:hAnsi="Garamond"/>
                <w:color w:val="000000"/>
              </w:rPr>
              <w:t>Loan</w:t>
            </w:r>
          </w:p>
        </w:tc>
      </w:tr>
      <w:tr w:rsidR="0097240B" w:rsidRPr="0097240B" w:rsidTr="009E0E89">
        <w:trPr>
          <w:trHeight w:val="288"/>
        </w:trPr>
        <w:tc>
          <w:tcPr>
            <w:tcW w:w="2040" w:type="dxa"/>
            <w:tcBorders>
              <w:top w:val="nil"/>
              <w:left w:val="nil"/>
              <w:bottom w:val="single" w:sz="4" w:space="0" w:color="auto"/>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sz w:val="20"/>
                <w:szCs w:val="20"/>
              </w:rPr>
            </w:pPr>
          </w:p>
        </w:tc>
        <w:tc>
          <w:tcPr>
            <w:tcW w:w="1360" w:type="dxa"/>
            <w:tcBorders>
              <w:top w:val="single" w:sz="4" w:space="0" w:color="auto"/>
              <w:left w:val="nil"/>
              <w:bottom w:val="single" w:sz="4" w:space="0" w:color="auto"/>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Commitment</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Disbursement</w:t>
            </w:r>
          </w:p>
        </w:tc>
        <w:tc>
          <w:tcPr>
            <w:tcW w:w="1360" w:type="dxa"/>
            <w:tcBorders>
              <w:top w:val="single" w:sz="4" w:space="0" w:color="auto"/>
              <w:left w:val="single" w:sz="4" w:space="0" w:color="auto"/>
              <w:bottom w:val="single" w:sz="4" w:space="0" w:color="auto"/>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Commitment</w:t>
            </w:r>
          </w:p>
        </w:tc>
        <w:tc>
          <w:tcPr>
            <w:tcW w:w="1420" w:type="dxa"/>
            <w:tcBorders>
              <w:top w:val="single" w:sz="4" w:space="0" w:color="auto"/>
              <w:left w:val="nil"/>
              <w:bottom w:val="single" w:sz="4" w:space="0" w:color="auto"/>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Disbursement</w:t>
            </w:r>
          </w:p>
        </w:tc>
      </w:tr>
      <w:tr w:rsidR="0097240B" w:rsidRPr="0097240B" w:rsidTr="009E0E89">
        <w:trPr>
          <w:trHeight w:val="288"/>
        </w:trPr>
        <w:tc>
          <w:tcPr>
            <w:tcW w:w="2040" w:type="dxa"/>
            <w:tcBorders>
              <w:top w:val="single" w:sz="4" w:space="0" w:color="auto"/>
              <w:left w:val="nil"/>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2010/11</w:t>
            </w:r>
          </w:p>
        </w:tc>
        <w:tc>
          <w:tcPr>
            <w:tcW w:w="1360" w:type="dxa"/>
            <w:tcBorders>
              <w:top w:val="single" w:sz="4" w:space="0" w:color="auto"/>
              <w:left w:val="nil"/>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3737.4</w:t>
            </w:r>
          </w:p>
        </w:tc>
        <w:tc>
          <w:tcPr>
            <w:tcW w:w="1520" w:type="dxa"/>
            <w:tcBorders>
              <w:top w:val="single" w:sz="4" w:space="0" w:color="auto"/>
              <w:left w:val="nil"/>
              <w:bottom w:val="nil"/>
              <w:right w:val="single" w:sz="4" w:space="0" w:color="auto"/>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1894.7</w:t>
            </w:r>
          </w:p>
        </w:tc>
        <w:tc>
          <w:tcPr>
            <w:tcW w:w="1360" w:type="dxa"/>
            <w:tcBorders>
              <w:top w:val="single" w:sz="4" w:space="0" w:color="auto"/>
              <w:left w:val="single" w:sz="4" w:space="0" w:color="auto"/>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1310.1</w:t>
            </w:r>
          </w:p>
        </w:tc>
        <w:tc>
          <w:tcPr>
            <w:tcW w:w="1420" w:type="dxa"/>
            <w:tcBorders>
              <w:top w:val="single" w:sz="4" w:space="0" w:color="auto"/>
              <w:left w:val="nil"/>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214.9</w:t>
            </w:r>
          </w:p>
        </w:tc>
      </w:tr>
      <w:tr w:rsidR="0097240B" w:rsidRPr="0097240B" w:rsidTr="009E0E89">
        <w:trPr>
          <w:trHeight w:val="288"/>
        </w:trPr>
        <w:tc>
          <w:tcPr>
            <w:tcW w:w="2040" w:type="dxa"/>
            <w:tcBorders>
              <w:top w:val="nil"/>
              <w:left w:val="nil"/>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2011/12</w:t>
            </w:r>
          </w:p>
        </w:tc>
        <w:tc>
          <w:tcPr>
            <w:tcW w:w="1360" w:type="dxa"/>
            <w:tcBorders>
              <w:top w:val="nil"/>
              <w:left w:val="nil"/>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1867.4</w:t>
            </w:r>
          </w:p>
        </w:tc>
        <w:tc>
          <w:tcPr>
            <w:tcW w:w="1520" w:type="dxa"/>
            <w:tcBorders>
              <w:top w:val="nil"/>
              <w:left w:val="nil"/>
              <w:bottom w:val="nil"/>
              <w:right w:val="single" w:sz="4" w:space="0" w:color="auto"/>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1590.4</w:t>
            </w:r>
          </w:p>
        </w:tc>
        <w:tc>
          <w:tcPr>
            <w:tcW w:w="1360" w:type="dxa"/>
            <w:tcBorders>
              <w:top w:val="nil"/>
              <w:left w:val="single" w:sz="4" w:space="0" w:color="auto"/>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1468.2</w:t>
            </w:r>
          </w:p>
        </w:tc>
        <w:tc>
          <w:tcPr>
            <w:tcW w:w="1420" w:type="dxa"/>
            <w:tcBorders>
              <w:top w:val="nil"/>
              <w:left w:val="nil"/>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986.7</w:t>
            </w:r>
          </w:p>
        </w:tc>
      </w:tr>
      <w:tr w:rsidR="0097240B" w:rsidRPr="0097240B" w:rsidTr="009E0E89">
        <w:trPr>
          <w:trHeight w:val="288"/>
        </w:trPr>
        <w:tc>
          <w:tcPr>
            <w:tcW w:w="2040" w:type="dxa"/>
            <w:tcBorders>
              <w:top w:val="nil"/>
              <w:left w:val="nil"/>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2012/13</w:t>
            </w:r>
          </w:p>
        </w:tc>
        <w:tc>
          <w:tcPr>
            <w:tcW w:w="1360" w:type="dxa"/>
            <w:tcBorders>
              <w:top w:val="nil"/>
              <w:left w:val="nil"/>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1362.3</w:t>
            </w:r>
          </w:p>
        </w:tc>
        <w:tc>
          <w:tcPr>
            <w:tcW w:w="1520" w:type="dxa"/>
            <w:tcBorders>
              <w:top w:val="nil"/>
              <w:left w:val="nil"/>
              <w:bottom w:val="nil"/>
              <w:right w:val="single" w:sz="4" w:space="0" w:color="auto"/>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1576.8</w:t>
            </w:r>
          </w:p>
        </w:tc>
        <w:tc>
          <w:tcPr>
            <w:tcW w:w="1360" w:type="dxa"/>
            <w:tcBorders>
              <w:top w:val="nil"/>
              <w:left w:val="single" w:sz="4" w:space="0" w:color="auto"/>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2562.6</w:t>
            </w:r>
          </w:p>
        </w:tc>
        <w:tc>
          <w:tcPr>
            <w:tcW w:w="1420" w:type="dxa"/>
            <w:tcBorders>
              <w:top w:val="nil"/>
              <w:left w:val="nil"/>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1417.3</w:t>
            </w:r>
          </w:p>
        </w:tc>
      </w:tr>
      <w:tr w:rsidR="0097240B" w:rsidRPr="0097240B" w:rsidTr="009E0E89">
        <w:trPr>
          <w:trHeight w:val="288"/>
        </w:trPr>
        <w:tc>
          <w:tcPr>
            <w:tcW w:w="2040" w:type="dxa"/>
            <w:tcBorders>
              <w:top w:val="nil"/>
              <w:left w:val="nil"/>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2013/14</w:t>
            </w:r>
          </w:p>
        </w:tc>
        <w:tc>
          <w:tcPr>
            <w:tcW w:w="1360" w:type="dxa"/>
            <w:tcBorders>
              <w:top w:val="nil"/>
              <w:left w:val="nil"/>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1050.8</w:t>
            </w:r>
          </w:p>
        </w:tc>
        <w:tc>
          <w:tcPr>
            <w:tcW w:w="1520" w:type="dxa"/>
            <w:tcBorders>
              <w:top w:val="nil"/>
              <w:left w:val="nil"/>
              <w:bottom w:val="nil"/>
              <w:right w:val="single" w:sz="4" w:space="0" w:color="auto"/>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1984.1</w:t>
            </w:r>
          </w:p>
        </w:tc>
        <w:tc>
          <w:tcPr>
            <w:tcW w:w="1360" w:type="dxa"/>
            <w:tcBorders>
              <w:top w:val="nil"/>
              <w:left w:val="single" w:sz="4" w:space="0" w:color="auto"/>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2351.6</w:t>
            </w:r>
          </w:p>
        </w:tc>
        <w:tc>
          <w:tcPr>
            <w:tcW w:w="1420" w:type="dxa"/>
            <w:tcBorders>
              <w:top w:val="nil"/>
              <w:left w:val="nil"/>
              <w:bottom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1300.3</w:t>
            </w:r>
          </w:p>
        </w:tc>
      </w:tr>
      <w:tr w:rsidR="0097240B" w:rsidRPr="0097240B" w:rsidTr="009E0E89">
        <w:trPr>
          <w:trHeight w:val="288"/>
        </w:trPr>
        <w:tc>
          <w:tcPr>
            <w:tcW w:w="2040" w:type="dxa"/>
            <w:tcBorders>
              <w:top w:val="nil"/>
              <w:left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2014/15</w:t>
            </w:r>
          </w:p>
        </w:tc>
        <w:tc>
          <w:tcPr>
            <w:tcW w:w="1360" w:type="dxa"/>
            <w:tcBorders>
              <w:top w:val="nil"/>
              <w:left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658.9</w:t>
            </w:r>
          </w:p>
        </w:tc>
        <w:tc>
          <w:tcPr>
            <w:tcW w:w="1520" w:type="dxa"/>
            <w:tcBorders>
              <w:top w:val="nil"/>
              <w:left w:val="nil"/>
              <w:right w:val="single" w:sz="4" w:space="0" w:color="auto"/>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1544.9</w:t>
            </w:r>
          </w:p>
        </w:tc>
        <w:tc>
          <w:tcPr>
            <w:tcW w:w="1360" w:type="dxa"/>
            <w:tcBorders>
              <w:top w:val="nil"/>
              <w:left w:val="single" w:sz="4" w:space="0" w:color="auto"/>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1697.3</w:t>
            </w:r>
          </w:p>
        </w:tc>
        <w:tc>
          <w:tcPr>
            <w:tcW w:w="1420" w:type="dxa"/>
            <w:tcBorders>
              <w:top w:val="nil"/>
              <w:left w:val="nil"/>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1167.5</w:t>
            </w:r>
          </w:p>
        </w:tc>
      </w:tr>
      <w:tr w:rsidR="0097240B" w:rsidRPr="0097240B" w:rsidTr="009E0E89">
        <w:trPr>
          <w:trHeight w:val="288"/>
        </w:trPr>
        <w:tc>
          <w:tcPr>
            <w:tcW w:w="2040" w:type="dxa"/>
            <w:tcBorders>
              <w:top w:val="nil"/>
              <w:left w:val="nil"/>
              <w:bottom w:val="single" w:sz="4" w:space="0" w:color="auto"/>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2015/16</w:t>
            </w:r>
          </w:p>
        </w:tc>
        <w:tc>
          <w:tcPr>
            <w:tcW w:w="1360" w:type="dxa"/>
            <w:tcBorders>
              <w:top w:val="nil"/>
              <w:left w:val="nil"/>
              <w:bottom w:val="single" w:sz="4" w:space="0" w:color="auto"/>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1435.4</w:t>
            </w:r>
          </w:p>
        </w:tc>
        <w:tc>
          <w:tcPr>
            <w:tcW w:w="1520" w:type="dxa"/>
            <w:tcBorders>
              <w:top w:val="nil"/>
              <w:left w:val="nil"/>
              <w:bottom w:val="single" w:sz="4" w:space="0" w:color="auto"/>
              <w:right w:val="single" w:sz="4" w:space="0" w:color="auto"/>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1160.0</w:t>
            </w:r>
          </w:p>
        </w:tc>
        <w:tc>
          <w:tcPr>
            <w:tcW w:w="1360" w:type="dxa"/>
            <w:tcBorders>
              <w:top w:val="nil"/>
              <w:left w:val="single" w:sz="4" w:space="0" w:color="auto"/>
              <w:bottom w:val="single" w:sz="4" w:space="0" w:color="auto"/>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2646.6</w:t>
            </w:r>
          </w:p>
        </w:tc>
        <w:tc>
          <w:tcPr>
            <w:tcW w:w="1420" w:type="dxa"/>
            <w:tcBorders>
              <w:top w:val="nil"/>
              <w:left w:val="nil"/>
              <w:bottom w:val="single" w:sz="4" w:space="0" w:color="auto"/>
              <w:right w:val="nil"/>
            </w:tcBorders>
            <w:shd w:val="clear" w:color="auto" w:fill="auto"/>
            <w:noWrap/>
            <w:vAlign w:val="bottom"/>
            <w:hideMark/>
          </w:tcPr>
          <w:p w:rsidR="0097240B" w:rsidRPr="0097240B" w:rsidRDefault="0097240B" w:rsidP="00C26A15">
            <w:pPr>
              <w:spacing w:after="0" w:line="240" w:lineRule="auto"/>
              <w:jc w:val="center"/>
              <w:rPr>
                <w:rFonts w:ascii="Garamond" w:hAnsi="Garamond"/>
                <w:color w:val="000000"/>
              </w:rPr>
            </w:pPr>
            <w:r w:rsidRPr="0097240B">
              <w:rPr>
                <w:rFonts w:ascii="Garamond" w:hAnsi="Garamond"/>
                <w:color w:val="000000"/>
              </w:rPr>
              <w:t>1597.8</w:t>
            </w:r>
          </w:p>
        </w:tc>
      </w:tr>
    </w:tbl>
    <w:p w:rsidR="0080125C" w:rsidRDefault="00A33FE7" w:rsidP="00EF46F9">
      <w:pPr>
        <w:spacing w:after="0" w:line="240" w:lineRule="auto"/>
        <w:rPr>
          <w:rFonts w:ascii="Garamond" w:eastAsiaTheme="minorEastAsia" w:hAnsi="Garamond" w:cstheme="minorBidi"/>
          <w:b/>
          <w:bCs/>
          <w:color w:val="5B9BD5" w:themeColor="accent1"/>
          <w:lang w:val="en-GB" w:eastAsia="en-GB"/>
        </w:rPr>
      </w:pPr>
      <w:r w:rsidRPr="002B096B">
        <w:rPr>
          <w:rFonts w:ascii="Garamond" w:hAnsi="Garamond"/>
        </w:rPr>
        <w:t>Source: MoFEC (Aid platform</w:t>
      </w:r>
      <w:r w:rsidR="00223E77" w:rsidRPr="002B096B">
        <w:rPr>
          <w:rFonts w:ascii="Garamond" w:hAnsi="Garamond"/>
        </w:rPr>
        <w:t xml:space="preserve"> database</w:t>
      </w:r>
      <w:r w:rsidRPr="002B096B">
        <w:rPr>
          <w:rFonts w:ascii="Garamond" w:hAnsi="Garamond"/>
        </w:rPr>
        <w:t>)</w:t>
      </w:r>
    </w:p>
    <w:p w:rsidR="00D865C7" w:rsidRPr="00687E4F" w:rsidRDefault="00D865C7" w:rsidP="00C26A15">
      <w:pPr>
        <w:pStyle w:val="Caption"/>
        <w:spacing w:after="0"/>
        <w:rPr>
          <w:rFonts w:ascii="Garamond" w:hAnsi="Garamond"/>
          <w:sz w:val="22"/>
          <w:szCs w:val="22"/>
        </w:rPr>
      </w:pPr>
      <w:bookmarkStart w:id="74" w:name="_Toc486585958"/>
      <w:r w:rsidRPr="00687E4F">
        <w:rPr>
          <w:rFonts w:ascii="Garamond" w:hAnsi="Garamond"/>
          <w:sz w:val="22"/>
          <w:szCs w:val="22"/>
        </w:rPr>
        <w:t xml:space="preserve">Figure </w:t>
      </w:r>
      <w:r w:rsidR="00BF3BBC" w:rsidRPr="00687E4F">
        <w:rPr>
          <w:rFonts w:ascii="Garamond" w:hAnsi="Garamond"/>
          <w:sz w:val="22"/>
          <w:szCs w:val="22"/>
        </w:rPr>
        <w:fldChar w:fldCharType="begin"/>
      </w:r>
      <w:r w:rsidRPr="00687E4F">
        <w:rPr>
          <w:rFonts w:ascii="Garamond" w:hAnsi="Garamond"/>
          <w:sz w:val="22"/>
          <w:szCs w:val="22"/>
        </w:rPr>
        <w:instrText xml:space="preserve"> SEQ Figure \* ARABIC </w:instrText>
      </w:r>
      <w:r w:rsidR="00BF3BBC" w:rsidRPr="00687E4F">
        <w:rPr>
          <w:rFonts w:ascii="Garamond" w:hAnsi="Garamond"/>
          <w:sz w:val="22"/>
          <w:szCs w:val="22"/>
        </w:rPr>
        <w:fldChar w:fldCharType="separate"/>
      </w:r>
      <w:r w:rsidR="006C24A4">
        <w:rPr>
          <w:rFonts w:ascii="Garamond" w:hAnsi="Garamond"/>
          <w:noProof/>
          <w:sz w:val="22"/>
          <w:szCs w:val="22"/>
        </w:rPr>
        <w:t>23</w:t>
      </w:r>
      <w:r w:rsidR="00BF3BBC" w:rsidRPr="00687E4F">
        <w:rPr>
          <w:rFonts w:ascii="Garamond" w:hAnsi="Garamond"/>
          <w:sz w:val="22"/>
          <w:szCs w:val="22"/>
        </w:rPr>
        <w:fldChar w:fldCharType="end"/>
      </w:r>
      <w:r w:rsidRPr="00687E4F">
        <w:rPr>
          <w:rFonts w:ascii="Garamond" w:hAnsi="Garamond"/>
          <w:sz w:val="22"/>
          <w:szCs w:val="22"/>
        </w:rPr>
        <w:t xml:space="preserve">: </w:t>
      </w:r>
      <w:r w:rsidR="00223E77" w:rsidRPr="00687E4F">
        <w:rPr>
          <w:rFonts w:ascii="Garamond" w:hAnsi="Garamond"/>
          <w:sz w:val="22"/>
          <w:szCs w:val="22"/>
        </w:rPr>
        <w:t>L</w:t>
      </w:r>
      <w:r w:rsidRPr="00687E4F">
        <w:rPr>
          <w:rFonts w:ascii="Garamond" w:hAnsi="Garamond"/>
          <w:sz w:val="22"/>
          <w:szCs w:val="22"/>
        </w:rPr>
        <w:t xml:space="preserve">oans </w:t>
      </w:r>
      <w:r w:rsidR="00B05E44" w:rsidRPr="00687E4F">
        <w:rPr>
          <w:rFonts w:ascii="Garamond" w:hAnsi="Garamond"/>
          <w:sz w:val="22"/>
          <w:szCs w:val="22"/>
        </w:rPr>
        <w:t xml:space="preserve">disbursed </w:t>
      </w:r>
      <w:r w:rsidRPr="00687E4F">
        <w:rPr>
          <w:rFonts w:ascii="Garamond" w:hAnsi="Garamond"/>
          <w:sz w:val="22"/>
          <w:szCs w:val="22"/>
        </w:rPr>
        <w:t xml:space="preserve">as a share of </w:t>
      </w:r>
      <w:r w:rsidR="00B05E44" w:rsidRPr="00687E4F">
        <w:rPr>
          <w:rFonts w:ascii="Garamond" w:hAnsi="Garamond"/>
          <w:sz w:val="22"/>
          <w:szCs w:val="22"/>
        </w:rPr>
        <w:t>commitment</w:t>
      </w:r>
      <w:r w:rsidR="00223E77" w:rsidRPr="00687E4F">
        <w:rPr>
          <w:rFonts w:ascii="Garamond" w:hAnsi="Garamond"/>
          <w:sz w:val="22"/>
          <w:szCs w:val="22"/>
        </w:rPr>
        <w:t xml:space="preserve"> by </w:t>
      </w:r>
      <w:r w:rsidR="00136504" w:rsidRPr="00687E4F">
        <w:rPr>
          <w:rFonts w:ascii="Garamond" w:hAnsi="Garamond"/>
          <w:sz w:val="22"/>
          <w:szCs w:val="22"/>
        </w:rPr>
        <w:t xml:space="preserve">type </w:t>
      </w:r>
      <w:r w:rsidR="00C61B12" w:rsidRPr="00687E4F">
        <w:rPr>
          <w:rFonts w:ascii="Garamond" w:hAnsi="Garamond"/>
          <w:sz w:val="22"/>
          <w:szCs w:val="22"/>
        </w:rPr>
        <w:t xml:space="preserve">of </w:t>
      </w:r>
      <w:r w:rsidR="00223E77" w:rsidRPr="00687E4F">
        <w:rPr>
          <w:rFonts w:ascii="Garamond" w:hAnsi="Garamond"/>
          <w:sz w:val="22"/>
          <w:szCs w:val="22"/>
        </w:rPr>
        <w:t>loan provider</w:t>
      </w:r>
      <w:r w:rsidR="00B05E44" w:rsidRPr="00687E4F">
        <w:rPr>
          <w:rFonts w:ascii="Garamond" w:hAnsi="Garamond"/>
          <w:sz w:val="22"/>
          <w:szCs w:val="22"/>
        </w:rPr>
        <w:t xml:space="preserve"> </w:t>
      </w:r>
      <w:r w:rsidRPr="00687E4F">
        <w:rPr>
          <w:rFonts w:ascii="Garamond" w:hAnsi="Garamond"/>
          <w:sz w:val="22"/>
          <w:szCs w:val="22"/>
        </w:rPr>
        <w:t>(Percent)</w:t>
      </w:r>
      <w:bookmarkEnd w:id="74"/>
    </w:p>
    <w:p w:rsidR="00D865C7" w:rsidRPr="004E7AC2" w:rsidRDefault="00D865C7" w:rsidP="00C26A15">
      <w:pPr>
        <w:autoSpaceDE w:val="0"/>
        <w:autoSpaceDN w:val="0"/>
        <w:adjustRightInd w:val="0"/>
        <w:spacing w:after="0" w:line="240" w:lineRule="auto"/>
        <w:jc w:val="both"/>
        <w:rPr>
          <w:rFonts w:ascii="Garamond" w:hAnsi="Garamond"/>
          <w:color w:val="FF0000"/>
        </w:rPr>
      </w:pPr>
      <w:r>
        <w:rPr>
          <w:noProof/>
        </w:rPr>
        <w:drawing>
          <wp:inline distT="0" distB="0" distL="0" distR="0">
            <wp:extent cx="5334000" cy="1763486"/>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D0F30" w:rsidRDefault="003D0F30" w:rsidP="00C26A15">
      <w:pPr>
        <w:spacing w:after="0" w:line="240" w:lineRule="auto"/>
        <w:rPr>
          <w:rFonts w:ascii="Garamond" w:hAnsi="Garamond"/>
        </w:rPr>
      </w:pPr>
      <w:r w:rsidRPr="000A4254">
        <w:rPr>
          <w:rFonts w:ascii="Garamond" w:hAnsi="Garamond"/>
        </w:rPr>
        <w:t>Source: MoFEC (Aid platform database)</w:t>
      </w:r>
    </w:p>
    <w:p w:rsidR="002D512F" w:rsidRDefault="002D512F" w:rsidP="002D512F">
      <w:pPr>
        <w:autoSpaceDE w:val="0"/>
        <w:autoSpaceDN w:val="0"/>
        <w:adjustRightInd w:val="0"/>
        <w:spacing w:after="0" w:line="240" w:lineRule="auto"/>
        <w:jc w:val="both"/>
        <w:rPr>
          <w:rFonts w:ascii="Garamond" w:hAnsi="Garamond"/>
          <w:sz w:val="24"/>
          <w:szCs w:val="24"/>
        </w:rPr>
      </w:pPr>
      <w:r w:rsidRPr="00A50903">
        <w:rPr>
          <w:rFonts w:ascii="Garamond" w:hAnsi="Garamond"/>
          <w:sz w:val="24"/>
          <w:szCs w:val="24"/>
        </w:rPr>
        <w:t xml:space="preserve">The major sources of credit include bilateral (international and regional organizations), and multilateral (governments). Particularly, the </w:t>
      </w:r>
      <w:r>
        <w:rPr>
          <w:rFonts w:ascii="Garamond" w:hAnsi="Garamond"/>
          <w:sz w:val="24"/>
          <w:szCs w:val="24"/>
        </w:rPr>
        <w:t>i</w:t>
      </w:r>
      <w:r w:rsidRPr="00A50903">
        <w:rPr>
          <w:rFonts w:ascii="Garamond" w:hAnsi="Garamond"/>
          <w:sz w:val="24"/>
          <w:szCs w:val="24"/>
        </w:rPr>
        <w:t xml:space="preserve">nternational </w:t>
      </w:r>
      <w:r>
        <w:rPr>
          <w:rFonts w:ascii="Garamond" w:hAnsi="Garamond"/>
          <w:sz w:val="24"/>
          <w:szCs w:val="24"/>
        </w:rPr>
        <w:t>f</w:t>
      </w:r>
      <w:r w:rsidRPr="00A50903">
        <w:rPr>
          <w:rFonts w:ascii="Garamond" w:hAnsi="Garamond"/>
          <w:sz w:val="24"/>
          <w:szCs w:val="24"/>
        </w:rPr>
        <w:t xml:space="preserve">inancial </w:t>
      </w:r>
      <w:r>
        <w:rPr>
          <w:rFonts w:ascii="Garamond" w:hAnsi="Garamond"/>
          <w:sz w:val="24"/>
          <w:szCs w:val="24"/>
        </w:rPr>
        <w:t>i</w:t>
      </w:r>
      <w:r w:rsidRPr="00A50903">
        <w:rPr>
          <w:rFonts w:ascii="Garamond" w:hAnsi="Garamond"/>
          <w:sz w:val="24"/>
          <w:szCs w:val="24"/>
        </w:rPr>
        <w:t>nstitutions such as the World Bank, IMF, the African Development Bank, the European Union, Arab Bank for Economic Development for Africa, OPEC Fund for International Development and others</w:t>
      </w:r>
      <w:r>
        <w:rPr>
          <w:rFonts w:ascii="Garamond" w:hAnsi="Garamond"/>
          <w:sz w:val="24"/>
          <w:szCs w:val="24"/>
        </w:rPr>
        <w:t xml:space="preserve"> have been the major sources of credit.</w:t>
      </w:r>
      <w:r w:rsidRPr="00A50903">
        <w:rPr>
          <w:rFonts w:ascii="Garamond" w:hAnsi="Garamond"/>
          <w:sz w:val="24"/>
          <w:szCs w:val="24"/>
        </w:rPr>
        <w:t xml:space="preserve"> Bilateral sources consist of the country’s long time development partners mostly the Paris Club members, including United Kingdom, France, Italy, USA, Japan, and other non-Paris Club countries. Furthermore, Ethiopia has been benefiting from Asian and Middle East </w:t>
      </w:r>
      <w:r w:rsidR="009534CE">
        <w:rPr>
          <w:rFonts w:ascii="Garamond" w:hAnsi="Garamond"/>
          <w:sz w:val="24"/>
          <w:szCs w:val="24"/>
        </w:rPr>
        <w:t>c</w:t>
      </w:r>
      <w:r w:rsidRPr="00A50903">
        <w:rPr>
          <w:rFonts w:ascii="Garamond" w:hAnsi="Garamond"/>
          <w:sz w:val="24"/>
          <w:szCs w:val="24"/>
        </w:rPr>
        <w:t>ountries.</w:t>
      </w:r>
      <w:r>
        <w:rPr>
          <w:rFonts w:ascii="Garamond" w:hAnsi="Garamond"/>
          <w:sz w:val="24"/>
          <w:szCs w:val="24"/>
        </w:rPr>
        <w:t xml:space="preserve"> </w:t>
      </w:r>
      <w:r w:rsidRPr="00F86900">
        <w:rPr>
          <w:rFonts w:ascii="Garamond" w:hAnsi="Garamond"/>
          <w:sz w:val="24"/>
          <w:szCs w:val="24"/>
        </w:rPr>
        <w:t>Between 2011/12 and 2015/16, about 71</w:t>
      </w:r>
      <w:r>
        <w:rPr>
          <w:rFonts w:ascii="Garamond" w:hAnsi="Garamond"/>
          <w:sz w:val="24"/>
          <w:szCs w:val="24"/>
        </w:rPr>
        <w:t xml:space="preserve"> percent</w:t>
      </w:r>
      <w:r w:rsidRPr="00F86900">
        <w:rPr>
          <w:rFonts w:ascii="Garamond" w:hAnsi="Garamond"/>
          <w:sz w:val="24"/>
          <w:szCs w:val="24"/>
        </w:rPr>
        <w:t xml:space="preserve"> of the country’s external loan originated from official creditors (i.e. bilateral and multilaterals). Of this, about 41</w:t>
      </w:r>
      <w:r>
        <w:rPr>
          <w:rFonts w:ascii="Garamond" w:hAnsi="Garamond"/>
          <w:sz w:val="24"/>
          <w:szCs w:val="24"/>
        </w:rPr>
        <w:t xml:space="preserve"> percent</w:t>
      </w:r>
      <w:r w:rsidRPr="00F86900">
        <w:rPr>
          <w:rFonts w:ascii="Garamond" w:hAnsi="Garamond"/>
          <w:sz w:val="24"/>
          <w:szCs w:val="24"/>
        </w:rPr>
        <w:t xml:space="preserve"> was from multilateral and 30</w:t>
      </w:r>
      <w:r>
        <w:rPr>
          <w:rFonts w:ascii="Garamond" w:hAnsi="Garamond"/>
          <w:sz w:val="24"/>
          <w:szCs w:val="24"/>
        </w:rPr>
        <w:t xml:space="preserve"> percent</w:t>
      </w:r>
      <w:r w:rsidRPr="00F86900">
        <w:rPr>
          <w:rFonts w:ascii="Garamond" w:hAnsi="Garamond"/>
          <w:sz w:val="24"/>
          <w:szCs w:val="24"/>
        </w:rPr>
        <w:t xml:space="preserve"> from bilateral creditors. </w:t>
      </w:r>
      <w:r w:rsidRPr="00F86900">
        <w:rPr>
          <w:rFonts w:ascii="Garamond" w:hAnsi="Garamond" w:cs="SegoeUI"/>
          <w:sz w:val="24"/>
          <w:szCs w:val="24"/>
        </w:rPr>
        <w:t>The rest</w:t>
      </w:r>
      <w:r>
        <w:rPr>
          <w:rFonts w:ascii="Garamond" w:hAnsi="Garamond" w:cs="SegoeUI"/>
          <w:sz w:val="24"/>
          <w:szCs w:val="24"/>
        </w:rPr>
        <w:t xml:space="preserve"> (about 29 percent)</w:t>
      </w:r>
      <w:r w:rsidRPr="00F86900">
        <w:rPr>
          <w:rFonts w:ascii="Garamond" w:hAnsi="Garamond" w:cs="SegoeUI"/>
          <w:sz w:val="24"/>
          <w:szCs w:val="24"/>
        </w:rPr>
        <w:t xml:space="preserve"> </w:t>
      </w:r>
      <w:r>
        <w:rPr>
          <w:rFonts w:ascii="Garamond" w:hAnsi="Garamond" w:cs="SegoeUI"/>
          <w:sz w:val="24"/>
          <w:szCs w:val="24"/>
        </w:rPr>
        <w:t xml:space="preserve">was in the form of </w:t>
      </w:r>
      <w:r w:rsidRPr="00F86900">
        <w:rPr>
          <w:rFonts w:ascii="Garamond" w:hAnsi="Garamond" w:cs="SegoeUI"/>
          <w:sz w:val="24"/>
          <w:szCs w:val="24"/>
        </w:rPr>
        <w:t>trade and other credit linked to external commercial operations of internationally active public corporations (e.g. Ethiopian Airlines</w:t>
      </w:r>
      <w:r>
        <w:rPr>
          <w:rFonts w:ascii="Garamond" w:hAnsi="Garamond" w:cs="SegoeUI"/>
          <w:sz w:val="24"/>
          <w:szCs w:val="24"/>
        </w:rPr>
        <w:t xml:space="preserve"> and</w:t>
      </w:r>
      <w:r w:rsidRPr="00F86900">
        <w:rPr>
          <w:rFonts w:ascii="Garamond" w:hAnsi="Garamond" w:cs="SegoeUI"/>
          <w:sz w:val="24"/>
          <w:szCs w:val="24"/>
        </w:rPr>
        <w:t xml:space="preserve"> Ethio</w:t>
      </w:r>
      <w:r>
        <w:rPr>
          <w:rFonts w:ascii="Garamond" w:hAnsi="Garamond" w:cs="SegoeUI"/>
          <w:sz w:val="24"/>
          <w:szCs w:val="24"/>
        </w:rPr>
        <w:t>-</w:t>
      </w:r>
      <w:r w:rsidRPr="00F86900">
        <w:rPr>
          <w:rFonts w:ascii="Garamond" w:hAnsi="Garamond" w:cs="SegoeUI"/>
          <w:sz w:val="24"/>
          <w:szCs w:val="24"/>
        </w:rPr>
        <w:t>Telecom).</w:t>
      </w:r>
      <w:r w:rsidRPr="00F86900">
        <w:rPr>
          <w:rFonts w:ascii="Garamond" w:hAnsi="Garamond"/>
          <w:sz w:val="24"/>
          <w:szCs w:val="24"/>
        </w:rPr>
        <w:t xml:space="preserve"> This </w:t>
      </w:r>
      <w:r w:rsidR="00C85843">
        <w:rPr>
          <w:rFonts w:ascii="Garamond" w:hAnsi="Garamond"/>
          <w:sz w:val="24"/>
          <w:szCs w:val="24"/>
        </w:rPr>
        <w:t xml:space="preserve">indicates </w:t>
      </w:r>
      <w:r w:rsidRPr="00F86900">
        <w:rPr>
          <w:rFonts w:ascii="Garamond" w:hAnsi="Garamond"/>
          <w:sz w:val="24"/>
          <w:szCs w:val="24"/>
        </w:rPr>
        <w:t xml:space="preserve">that official development assistance </w:t>
      </w:r>
      <w:r>
        <w:rPr>
          <w:rFonts w:ascii="Garamond" w:hAnsi="Garamond"/>
          <w:sz w:val="24"/>
          <w:szCs w:val="24"/>
        </w:rPr>
        <w:t xml:space="preserve">in the form of </w:t>
      </w:r>
      <w:r w:rsidRPr="00F86900">
        <w:rPr>
          <w:rFonts w:ascii="Garamond" w:hAnsi="Garamond"/>
          <w:sz w:val="24"/>
          <w:szCs w:val="24"/>
        </w:rPr>
        <w:t xml:space="preserve">concessional terms </w:t>
      </w:r>
      <w:r>
        <w:rPr>
          <w:rFonts w:ascii="Garamond" w:hAnsi="Garamond"/>
          <w:sz w:val="24"/>
          <w:szCs w:val="24"/>
        </w:rPr>
        <w:t>account for a large proportion of</w:t>
      </w:r>
      <w:r w:rsidR="0093514F">
        <w:rPr>
          <w:rFonts w:ascii="Garamond" w:hAnsi="Garamond"/>
          <w:sz w:val="24"/>
          <w:szCs w:val="24"/>
        </w:rPr>
        <w:t xml:space="preserve"> total </w:t>
      </w:r>
      <w:r>
        <w:rPr>
          <w:rFonts w:ascii="Garamond" w:hAnsi="Garamond"/>
          <w:sz w:val="24"/>
          <w:szCs w:val="24"/>
        </w:rPr>
        <w:t>loans.</w:t>
      </w:r>
    </w:p>
    <w:p w:rsidR="002D512F" w:rsidRDefault="00EA3C49" w:rsidP="00191464">
      <w:pPr>
        <w:autoSpaceDE w:val="0"/>
        <w:autoSpaceDN w:val="0"/>
        <w:adjustRightInd w:val="0"/>
        <w:spacing w:after="0" w:line="240" w:lineRule="auto"/>
        <w:jc w:val="both"/>
        <w:rPr>
          <w:rFonts w:ascii="Garamond" w:eastAsiaTheme="minorHAnsi" w:hAnsi="Garamond" w:cs="MyriadPro-Bold"/>
          <w:b/>
          <w:color w:val="1B6683"/>
          <w:sz w:val="24"/>
          <w:szCs w:val="24"/>
          <w:lang w:val="en-GB" w:eastAsia="en-GB"/>
        </w:rPr>
      </w:pPr>
      <w:r w:rsidRPr="00EA3C49">
        <w:rPr>
          <w:rFonts w:ascii="Garamond" w:hAnsi="Garamond"/>
          <w:sz w:val="24"/>
          <w:szCs w:val="24"/>
        </w:rPr>
        <w:lastRenderedPageBreak/>
        <w:t xml:space="preserve">In terms of sectoral distribution, </w:t>
      </w:r>
      <w:r w:rsidRPr="00EA3C49">
        <w:rPr>
          <w:rFonts w:ascii="Garamond" w:eastAsiaTheme="minorHAnsi" w:hAnsi="Garamond" w:cs="MyriadPro-Regular"/>
          <w:sz w:val="24"/>
          <w:szCs w:val="24"/>
          <w:lang w:val="en-GB"/>
        </w:rPr>
        <w:t xml:space="preserve">ODA supports a wide variety of sectors; agriculture is the largest recipient of ODA, followed by cross-cutting and transport and storage. </w:t>
      </w:r>
      <w:r>
        <w:rPr>
          <w:rFonts w:ascii="Garamond" w:eastAsiaTheme="minorHAnsi" w:hAnsi="Garamond" w:cs="MyriadPro-Regular"/>
          <w:sz w:val="24"/>
          <w:szCs w:val="24"/>
          <w:lang w:val="en-GB"/>
        </w:rPr>
        <w:t xml:space="preserve">Energy generation and supply and education </w:t>
      </w:r>
      <w:r w:rsidR="009458FF">
        <w:rPr>
          <w:rFonts w:ascii="Garamond" w:eastAsiaTheme="minorHAnsi" w:hAnsi="Garamond" w:cs="MyriadPro-Regular"/>
          <w:sz w:val="24"/>
          <w:szCs w:val="24"/>
          <w:lang w:val="en-GB"/>
        </w:rPr>
        <w:t xml:space="preserve">also </w:t>
      </w:r>
      <w:r>
        <w:rPr>
          <w:rFonts w:ascii="Garamond" w:eastAsiaTheme="minorHAnsi" w:hAnsi="Garamond" w:cs="MyriadPro-Regular"/>
          <w:sz w:val="24"/>
          <w:szCs w:val="24"/>
          <w:lang w:val="en-GB"/>
        </w:rPr>
        <w:t xml:space="preserve">together accounted for </w:t>
      </w:r>
      <w:r w:rsidR="00575569">
        <w:rPr>
          <w:rFonts w:ascii="Garamond" w:eastAsiaTheme="minorHAnsi" w:hAnsi="Garamond" w:cs="MyriadPro-Regular"/>
          <w:sz w:val="24"/>
          <w:szCs w:val="24"/>
          <w:lang w:val="en-GB"/>
        </w:rPr>
        <w:t xml:space="preserve">about </w:t>
      </w:r>
      <w:r>
        <w:rPr>
          <w:rFonts w:ascii="Garamond" w:eastAsiaTheme="minorHAnsi" w:hAnsi="Garamond" w:cs="MyriadPro-Regular"/>
          <w:sz w:val="24"/>
          <w:szCs w:val="24"/>
          <w:lang w:val="en-GB"/>
        </w:rPr>
        <w:t xml:space="preserve">17.3 percent of total ODA between 2010/11 and 2015/16. </w:t>
      </w:r>
    </w:p>
    <w:p w:rsidR="00035787" w:rsidRPr="00035787" w:rsidRDefault="00035787" w:rsidP="00035787">
      <w:pPr>
        <w:pStyle w:val="Caption"/>
        <w:spacing w:after="0"/>
        <w:rPr>
          <w:rFonts w:ascii="Garamond" w:hAnsi="Garamond"/>
          <w:sz w:val="24"/>
          <w:szCs w:val="24"/>
        </w:rPr>
      </w:pPr>
      <w:bookmarkStart w:id="75" w:name="_Toc486585959"/>
      <w:r w:rsidRPr="00035787">
        <w:rPr>
          <w:rFonts w:ascii="Garamond" w:eastAsiaTheme="minorHAnsi" w:hAnsi="Garamond" w:cs="MyriadPro-Bold"/>
          <w:bCs w:val="0"/>
          <w:color w:val="1B6683"/>
          <w:sz w:val="24"/>
          <w:szCs w:val="24"/>
        </w:rPr>
        <w:t>Figure</w:t>
      </w:r>
      <w:r w:rsidRPr="00035787">
        <w:rPr>
          <w:rFonts w:ascii="Garamond" w:hAnsi="Garamond"/>
          <w:sz w:val="24"/>
          <w:szCs w:val="24"/>
        </w:rPr>
        <w:t xml:space="preserve"> </w:t>
      </w:r>
      <w:r w:rsidR="00BF3BBC" w:rsidRPr="00035787">
        <w:rPr>
          <w:rFonts w:ascii="Garamond" w:hAnsi="Garamond"/>
          <w:sz w:val="24"/>
          <w:szCs w:val="24"/>
        </w:rPr>
        <w:fldChar w:fldCharType="begin"/>
      </w:r>
      <w:r w:rsidRPr="00035787">
        <w:rPr>
          <w:rFonts w:ascii="Garamond" w:hAnsi="Garamond"/>
          <w:sz w:val="24"/>
          <w:szCs w:val="24"/>
        </w:rPr>
        <w:instrText xml:space="preserve"> SEQ Figure \* ARABIC </w:instrText>
      </w:r>
      <w:r w:rsidR="00BF3BBC" w:rsidRPr="00035787">
        <w:rPr>
          <w:rFonts w:ascii="Garamond" w:hAnsi="Garamond"/>
          <w:sz w:val="24"/>
          <w:szCs w:val="24"/>
        </w:rPr>
        <w:fldChar w:fldCharType="separate"/>
      </w:r>
      <w:r w:rsidR="006C24A4">
        <w:rPr>
          <w:rFonts w:ascii="Garamond" w:hAnsi="Garamond"/>
          <w:noProof/>
          <w:sz w:val="24"/>
          <w:szCs w:val="24"/>
        </w:rPr>
        <w:t>24</w:t>
      </w:r>
      <w:r w:rsidR="00BF3BBC" w:rsidRPr="00035787">
        <w:rPr>
          <w:rFonts w:ascii="Garamond" w:hAnsi="Garamond"/>
          <w:sz w:val="24"/>
          <w:szCs w:val="24"/>
        </w:rPr>
        <w:fldChar w:fldCharType="end"/>
      </w:r>
      <w:r w:rsidRPr="00035787">
        <w:rPr>
          <w:rFonts w:ascii="Garamond" w:hAnsi="Garamond"/>
          <w:sz w:val="24"/>
          <w:szCs w:val="24"/>
        </w:rPr>
        <w:t xml:space="preserve">: </w:t>
      </w:r>
      <w:r w:rsidR="0031706A">
        <w:rPr>
          <w:rFonts w:ascii="Garamond" w:eastAsiaTheme="minorHAnsi" w:hAnsi="Garamond" w:cs="MyriadPro-Bold"/>
          <w:bCs w:val="0"/>
          <w:color w:val="1B6683"/>
          <w:sz w:val="24"/>
          <w:szCs w:val="24"/>
        </w:rPr>
        <w:t>Breakdown of ODA commitments by s</w:t>
      </w:r>
      <w:r w:rsidRPr="00035787">
        <w:rPr>
          <w:rFonts w:ascii="Garamond" w:eastAsiaTheme="minorHAnsi" w:hAnsi="Garamond" w:cs="MyriadPro-Bold"/>
          <w:bCs w:val="0"/>
          <w:color w:val="1B6683"/>
          <w:sz w:val="24"/>
          <w:szCs w:val="24"/>
        </w:rPr>
        <w:t>ector 20</w:t>
      </w:r>
      <w:r>
        <w:rPr>
          <w:rFonts w:ascii="Garamond" w:eastAsiaTheme="minorHAnsi" w:hAnsi="Garamond" w:cs="MyriadPro-Bold"/>
          <w:bCs w:val="0"/>
          <w:color w:val="1B6683"/>
          <w:sz w:val="24"/>
          <w:szCs w:val="24"/>
        </w:rPr>
        <w:t>1</w:t>
      </w:r>
      <w:r w:rsidRPr="00035787">
        <w:rPr>
          <w:rFonts w:ascii="Garamond" w:eastAsiaTheme="minorHAnsi" w:hAnsi="Garamond" w:cs="MyriadPro-Bold"/>
          <w:bCs w:val="0"/>
          <w:color w:val="1B6683"/>
          <w:sz w:val="24"/>
          <w:szCs w:val="24"/>
        </w:rPr>
        <w:t>0</w:t>
      </w:r>
      <w:r>
        <w:rPr>
          <w:rFonts w:ascii="Garamond" w:eastAsiaTheme="minorHAnsi" w:hAnsi="Garamond" w:cs="MyriadPro-Bold"/>
          <w:bCs w:val="0"/>
          <w:color w:val="1B6683"/>
          <w:sz w:val="24"/>
          <w:szCs w:val="24"/>
        </w:rPr>
        <w:t>/11–2015/16</w:t>
      </w:r>
      <w:r w:rsidR="005F2BC9">
        <w:rPr>
          <w:rFonts w:ascii="Garamond" w:eastAsiaTheme="minorHAnsi" w:hAnsi="Garamond" w:cs="MyriadPro-Bold"/>
          <w:bCs w:val="0"/>
          <w:color w:val="1B6683"/>
          <w:sz w:val="24"/>
          <w:szCs w:val="24"/>
        </w:rPr>
        <w:t xml:space="preserve"> (Percent of total grants and loans)</w:t>
      </w:r>
      <w:bookmarkEnd w:id="75"/>
    </w:p>
    <w:p w:rsidR="00035787" w:rsidRDefault="00035787" w:rsidP="00C26A15">
      <w:pPr>
        <w:spacing w:after="0" w:line="240" w:lineRule="auto"/>
        <w:rPr>
          <w:rFonts w:ascii="Garamond" w:hAnsi="Garamond"/>
        </w:rPr>
      </w:pPr>
      <w:r w:rsidRPr="00EA3C49">
        <w:rPr>
          <w:noProof/>
          <w:sz w:val="24"/>
          <w:szCs w:val="24"/>
        </w:rPr>
        <w:drawing>
          <wp:inline distT="0" distB="0" distL="0" distR="0">
            <wp:extent cx="6438900" cy="2314937"/>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F2BC9" w:rsidRDefault="005F2BC9" w:rsidP="005F2BC9">
      <w:pPr>
        <w:spacing w:after="0" w:line="240" w:lineRule="auto"/>
        <w:rPr>
          <w:rFonts w:ascii="Garamond" w:hAnsi="Garamond"/>
        </w:rPr>
      </w:pPr>
      <w:r w:rsidRPr="000A4254">
        <w:rPr>
          <w:rFonts w:ascii="Garamond" w:hAnsi="Garamond"/>
        </w:rPr>
        <w:t xml:space="preserve">Source: </w:t>
      </w:r>
      <w:r>
        <w:rPr>
          <w:rFonts w:ascii="Garamond" w:hAnsi="Garamond"/>
        </w:rPr>
        <w:t xml:space="preserve">Based on </w:t>
      </w:r>
      <w:r w:rsidRPr="000A4254">
        <w:rPr>
          <w:rFonts w:ascii="Garamond" w:hAnsi="Garamond"/>
        </w:rPr>
        <w:t>MoFEC (Aid platform database)</w:t>
      </w:r>
    </w:p>
    <w:p w:rsidR="002D512F" w:rsidRDefault="002D512F" w:rsidP="005F2BC9">
      <w:pPr>
        <w:spacing w:after="0" w:line="240" w:lineRule="auto"/>
        <w:rPr>
          <w:rFonts w:ascii="Garamond" w:hAnsi="Garamond"/>
        </w:rPr>
      </w:pPr>
    </w:p>
    <w:p w:rsidR="008046F4" w:rsidRPr="00E25ECE" w:rsidRDefault="006A0204" w:rsidP="00E25ECE">
      <w:pPr>
        <w:pStyle w:val="Heading2"/>
        <w:rPr>
          <w:rFonts w:ascii="Garamond" w:hAnsi="Garamond"/>
          <w:b/>
          <w:sz w:val="24"/>
          <w:szCs w:val="24"/>
        </w:rPr>
      </w:pPr>
      <w:bookmarkStart w:id="76" w:name="_Toc486782277"/>
      <w:r w:rsidRPr="00E25ECE">
        <w:rPr>
          <w:rFonts w:ascii="Garamond" w:hAnsi="Garamond"/>
          <w:b/>
          <w:sz w:val="24"/>
          <w:szCs w:val="24"/>
        </w:rPr>
        <w:t>6</w:t>
      </w:r>
      <w:r w:rsidR="005355CC" w:rsidRPr="00E25ECE">
        <w:rPr>
          <w:rFonts w:ascii="Garamond" w:hAnsi="Garamond"/>
          <w:b/>
          <w:sz w:val="24"/>
          <w:szCs w:val="24"/>
        </w:rPr>
        <w:t>.2</w:t>
      </w:r>
      <w:r w:rsidRPr="00E25ECE">
        <w:rPr>
          <w:rFonts w:ascii="Garamond" w:hAnsi="Garamond"/>
          <w:b/>
          <w:sz w:val="24"/>
          <w:szCs w:val="24"/>
        </w:rPr>
        <w:t xml:space="preserve"> </w:t>
      </w:r>
      <w:r w:rsidR="008046F4" w:rsidRPr="00E25ECE">
        <w:rPr>
          <w:rFonts w:ascii="Garamond" w:hAnsi="Garamond"/>
          <w:b/>
          <w:sz w:val="24"/>
          <w:szCs w:val="24"/>
        </w:rPr>
        <w:t>Debt and debt sustainability</w:t>
      </w:r>
      <w:bookmarkEnd w:id="76"/>
    </w:p>
    <w:p w:rsidR="006A0204" w:rsidRDefault="006A0204" w:rsidP="00C26A15">
      <w:pPr>
        <w:autoSpaceDE w:val="0"/>
        <w:autoSpaceDN w:val="0"/>
        <w:adjustRightInd w:val="0"/>
        <w:spacing w:after="0" w:line="240" w:lineRule="auto"/>
        <w:jc w:val="both"/>
        <w:rPr>
          <w:rFonts w:ascii="Garamond" w:hAnsi="Garamond"/>
          <w:sz w:val="24"/>
          <w:szCs w:val="24"/>
        </w:rPr>
      </w:pPr>
    </w:p>
    <w:p w:rsidR="00A64494" w:rsidRDefault="008046F4" w:rsidP="00A64494">
      <w:pPr>
        <w:autoSpaceDE w:val="0"/>
        <w:autoSpaceDN w:val="0"/>
        <w:adjustRightInd w:val="0"/>
        <w:spacing w:after="0" w:line="240" w:lineRule="auto"/>
        <w:jc w:val="both"/>
        <w:rPr>
          <w:rFonts w:ascii="Garamond" w:hAnsi="Garamond"/>
          <w:sz w:val="24"/>
          <w:szCs w:val="24"/>
        </w:rPr>
      </w:pPr>
      <w:r w:rsidRPr="00957578">
        <w:rPr>
          <w:rFonts w:ascii="Garamond" w:hAnsi="Garamond"/>
          <w:sz w:val="24"/>
          <w:szCs w:val="24"/>
        </w:rPr>
        <w:t>The AAAA devotes considerable space on debt and debt sustainability. The extent to which countries borrow from external sources depend largely on their ability to repay their debt including the principle and</w:t>
      </w:r>
      <w:r w:rsidR="000F20F1">
        <w:rPr>
          <w:rFonts w:ascii="Garamond" w:hAnsi="Garamond"/>
          <w:sz w:val="24"/>
          <w:szCs w:val="24"/>
        </w:rPr>
        <w:t xml:space="preserve"> interest (i.e. debt servicing), which in turn, depends on its export performance. </w:t>
      </w:r>
      <w:r w:rsidRPr="00957578">
        <w:rPr>
          <w:rFonts w:ascii="Garamond" w:hAnsi="Garamond"/>
          <w:sz w:val="24"/>
          <w:szCs w:val="24"/>
        </w:rPr>
        <w:t>Debt servicing takes resources away by (i) having less resources for public expenditure (ii) debt overhang can deter private investment and (iii) hinder new and more productive borrowing.</w:t>
      </w:r>
      <w:r w:rsidR="00A64494">
        <w:rPr>
          <w:rFonts w:ascii="Garamond" w:hAnsi="Garamond"/>
          <w:sz w:val="24"/>
          <w:szCs w:val="24"/>
        </w:rPr>
        <w:t xml:space="preserve"> </w:t>
      </w:r>
      <w:r w:rsidR="00A64494" w:rsidRPr="00A64494">
        <w:rPr>
          <w:rFonts w:ascii="Garamond" w:hAnsi="Garamond"/>
          <w:sz w:val="24"/>
          <w:szCs w:val="24"/>
        </w:rPr>
        <w:t>In particular, external debt management has close links with the management of fiscal budget, foreign exchange reserves and the overall balance of payments.</w:t>
      </w:r>
    </w:p>
    <w:p w:rsidR="00A64494" w:rsidRPr="00890345" w:rsidRDefault="00890345" w:rsidP="00890345">
      <w:pPr>
        <w:autoSpaceDE w:val="0"/>
        <w:autoSpaceDN w:val="0"/>
        <w:adjustRightInd w:val="0"/>
        <w:spacing w:after="0" w:line="240" w:lineRule="auto"/>
        <w:rPr>
          <w:rFonts w:ascii="Garamond" w:hAnsi="Garamond"/>
          <w:b/>
          <w:sz w:val="24"/>
          <w:szCs w:val="24"/>
        </w:rPr>
      </w:pPr>
      <w:r>
        <w:rPr>
          <w:rFonts w:ascii="Garamond" w:hAnsi="Garamond"/>
          <w:b/>
          <w:sz w:val="24"/>
          <w:szCs w:val="24"/>
        </w:rPr>
        <w:t xml:space="preserve">(i) </w:t>
      </w:r>
      <w:r w:rsidR="00802D08" w:rsidRPr="00890345">
        <w:rPr>
          <w:rFonts w:ascii="Garamond" w:hAnsi="Garamond"/>
          <w:b/>
          <w:sz w:val="24"/>
          <w:szCs w:val="24"/>
        </w:rPr>
        <w:t xml:space="preserve">Domestic debt </w:t>
      </w:r>
    </w:p>
    <w:p w:rsidR="0031706A" w:rsidRDefault="003C540F" w:rsidP="003C540F">
      <w:pPr>
        <w:autoSpaceDE w:val="0"/>
        <w:autoSpaceDN w:val="0"/>
        <w:adjustRightInd w:val="0"/>
        <w:spacing w:after="0" w:line="240" w:lineRule="auto"/>
        <w:jc w:val="both"/>
        <w:rPr>
          <w:rFonts w:ascii="Garamond" w:hAnsi="Garamond"/>
          <w:sz w:val="24"/>
          <w:szCs w:val="24"/>
        </w:rPr>
      </w:pPr>
      <w:r w:rsidRPr="003C540F">
        <w:rPr>
          <w:rFonts w:ascii="Garamond" w:hAnsi="Garamond"/>
          <w:sz w:val="24"/>
          <w:szCs w:val="24"/>
        </w:rPr>
        <w:t xml:space="preserve">The share of domestic debt </w:t>
      </w:r>
      <w:r>
        <w:rPr>
          <w:rFonts w:ascii="Garamond" w:hAnsi="Garamond"/>
          <w:sz w:val="24"/>
          <w:szCs w:val="24"/>
        </w:rPr>
        <w:t xml:space="preserve">in total domestic debt </w:t>
      </w:r>
      <w:r w:rsidRPr="003C540F">
        <w:rPr>
          <w:rFonts w:ascii="Garamond" w:hAnsi="Garamond"/>
          <w:sz w:val="24"/>
          <w:szCs w:val="24"/>
        </w:rPr>
        <w:t xml:space="preserve">owed by the central government </w:t>
      </w:r>
      <w:r>
        <w:rPr>
          <w:rFonts w:ascii="Garamond" w:hAnsi="Garamond"/>
          <w:sz w:val="24"/>
          <w:szCs w:val="24"/>
        </w:rPr>
        <w:t xml:space="preserve">declined over time: from 55.5 percent in 2011/12 to 44.4 percent in 2015/16, while that of state owned enterprises increased. This reflects a large size of domestic borrowing by </w:t>
      </w:r>
      <w:r w:rsidR="00AC4D1E">
        <w:rPr>
          <w:rFonts w:ascii="Garamond" w:hAnsi="Garamond"/>
          <w:sz w:val="24"/>
          <w:szCs w:val="24"/>
        </w:rPr>
        <w:t xml:space="preserve">public </w:t>
      </w:r>
      <w:r>
        <w:rPr>
          <w:rFonts w:ascii="Garamond" w:hAnsi="Garamond"/>
          <w:sz w:val="24"/>
          <w:szCs w:val="24"/>
        </w:rPr>
        <w:t>enterprises to finance infrastructural projects such as energy</w:t>
      </w:r>
      <w:r w:rsidR="009E3CA9">
        <w:rPr>
          <w:rFonts w:ascii="Garamond" w:hAnsi="Garamond"/>
          <w:sz w:val="24"/>
          <w:szCs w:val="24"/>
        </w:rPr>
        <w:t xml:space="preserve">, </w:t>
      </w:r>
      <w:r>
        <w:rPr>
          <w:rFonts w:ascii="Garamond" w:hAnsi="Garamond"/>
          <w:sz w:val="24"/>
          <w:szCs w:val="24"/>
        </w:rPr>
        <w:t>railway</w:t>
      </w:r>
      <w:r w:rsidR="009E3CA9">
        <w:rPr>
          <w:rFonts w:ascii="Garamond" w:hAnsi="Garamond"/>
          <w:sz w:val="24"/>
          <w:szCs w:val="24"/>
        </w:rPr>
        <w:t xml:space="preserve"> and other infrastructural projects. </w:t>
      </w:r>
      <w:r>
        <w:rPr>
          <w:rFonts w:ascii="Garamond" w:hAnsi="Garamond"/>
          <w:sz w:val="24"/>
          <w:szCs w:val="24"/>
        </w:rPr>
        <w:t xml:space="preserve">   </w:t>
      </w:r>
    </w:p>
    <w:p w:rsidR="00802D08" w:rsidRPr="00827ED7" w:rsidRDefault="003C540F" w:rsidP="00827ED7">
      <w:pPr>
        <w:pStyle w:val="Caption"/>
        <w:spacing w:after="0"/>
        <w:rPr>
          <w:rFonts w:ascii="Garamond" w:hAnsi="Garamond"/>
          <w:sz w:val="24"/>
          <w:szCs w:val="24"/>
        </w:rPr>
      </w:pPr>
      <w:bookmarkStart w:id="77" w:name="_Toc486585960"/>
      <w:r w:rsidRPr="00827ED7">
        <w:rPr>
          <w:rFonts w:ascii="Garamond" w:hAnsi="Garamond"/>
          <w:sz w:val="24"/>
          <w:szCs w:val="24"/>
        </w:rPr>
        <w:t xml:space="preserve">Figure </w:t>
      </w:r>
      <w:r w:rsidR="00BF3BBC" w:rsidRPr="00827ED7">
        <w:rPr>
          <w:rFonts w:ascii="Garamond" w:hAnsi="Garamond"/>
          <w:sz w:val="24"/>
          <w:szCs w:val="24"/>
        </w:rPr>
        <w:fldChar w:fldCharType="begin"/>
      </w:r>
      <w:r w:rsidRPr="00827ED7">
        <w:rPr>
          <w:rFonts w:ascii="Garamond" w:hAnsi="Garamond"/>
          <w:sz w:val="24"/>
          <w:szCs w:val="24"/>
        </w:rPr>
        <w:instrText xml:space="preserve"> SEQ Figure \* ARABIC </w:instrText>
      </w:r>
      <w:r w:rsidR="00BF3BBC" w:rsidRPr="00827ED7">
        <w:rPr>
          <w:rFonts w:ascii="Garamond" w:hAnsi="Garamond"/>
          <w:sz w:val="24"/>
          <w:szCs w:val="24"/>
        </w:rPr>
        <w:fldChar w:fldCharType="separate"/>
      </w:r>
      <w:r w:rsidR="006C24A4">
        <w:rPr>
          <w:rFonts w:ascii="Garamond" w:hAnsi="Garamond"/>
          <w:noProof/>
          <w:sz w:val="24"/>
          <w:szCs w:val="24"/>
        </w:rPr>
        <w:t>25</w:t>
      </w:r>
      <w:r w:rsidR="00BF3BBC" w:rsidRPr="00827ED7">
        <w:rPr>
          <w:rFonts w:ascii="Garamond" w:hAnsi="Garamond"/>
          <w:sz w:val="24"/>
          <w:szCs w:val="24"/>
        </w:rPr>
        <w:fldChar w:fldCharType="end"/>
      </w:r>
      <w:r w:rsidRPr="00827ED7">
        <w:rPr>
          <w:rFonts w:ascii="Garamond" w:hAnsi="Garamond"/>
          <w:sz w:val="24"/>
          <w:szCs w:val="24"/>
        </w:rPr>
        <w:t>: Domestic debt (Percent of total domestic debt)</w:t>
      </w:r>
      <w:bookmarkEnd w:id="77"/>
    </w:p>
    <w:p w:rsidR="00802D08" w:rsidRPr="00802D08" w:rsidRDefault="00802D08" w:rsidP="00802D08">
      <w:pPr>
        <w:autoSpaceDE w:val="0"/>
        <w:autoSpaceDN w:val="0"/>
        <w:adjustRightInd w:val="0"/>
        <w:spacing w:after="0" w:line="240" w:lineRule="auto"/>
        <w:ind w:left="360"/>
        <w:jc w:val="both"/>
        <w:rPr>
          <w:rFonts w:ascii="Garamond" w:hAnsi="Garamond"/>
          <w:sz w:val="24"/>
          <w:szCs w:val="24"/>
        </w:rPr>
      </w:pPr>
      <w:r>
        <w:rPr>
          <w:noProof/>
        </w:rPr>
        <w:drawing>
          <wp:inline distT="0" distB="0" distL="0" distR="0">
            <wp:extent cx="5769610" cy="13716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C540F" w:rsidRDefault="00BC3CFE" w:rsidP="003C540F">
      <w:pPr>
        <w:autoSpaceDE w:val="0"/>
        <w:autoSpaceDN w:val="0"/>
        <w:adjustRightInd w:val="0"/>
        <w:spacing w:after="0" w:line="240" w:lineRule="auto"/>
        <w:jc w:val="both"/>
        <w:rPr>
          <w:rFonts w:ascii="Garamond" w:hAnsi="Garamond"/>
          <w:sz w:val="24"/>
          <w:szCs w:val="24"/>
        </w:rPr>
      </w:pPr>
      <w:r w:rsidRPr="00BC3CFE">
        <w:rPr>
          <w:rFonts w:ascii="Garamond" w:hAnsi="Garamond"/>
          <w:sz w:val="24"/>
          <w:szCs w:val="24"/>
        </w:rPr>
        <w:t xml:space="preserve">Source: </w:t>
      </w:r>
      <w:r>
        <w:rPr>
          <w:rFonts w:ascii="Garamond" w:hAnsi="Garamond"/>
          <w:sz w:val="24"/>
          <w:szCs w:val="24"/>
        </w:rPr>
        <w:t xml:space="preserve">Public sector debt Statistical Bulletin No.18, </w:t>
      </w:r>
      <w:r w:rsidRPr="00BC3CFE">
        <w:rPr>
          <w:rFonts w:ascii="Garamond" w:hAnsi="Garamond"/>
          <w:sz w:val="24"/>
          <w:szCs w:val="24"/>
        </w:rPr>
        <w:t>Debt Management Directorate of MoFEC</w:t>
      </w:r>
    </w:p>
    <w:p w:rsidR="00C85843" w:rsidRDefault="00C85843" w:rsidP="003C540F">
      <w:pPr>
        <w:autoSpaceDE w:val="0"/>
        <w:autoSpaceDN w:val="0"/>
        <w:adjustRightInd w:val="0"/>
        <w:spacing w:after="0" w:line="240" w:lineRule="auto"/>
        <w:jc w:val="both"/>
        <w:rPr>
          <w:rFonts w:ascii="Garamond" w:hAnsi="Garamond"/>
          <w:sz w:val="24"/>
          <w:szCs w:val="24"/>
        </w:rPr>
      </w:pPr>
    </w:p>
    <w:p w:rsidR="00C85843" w:rsidRPr="00BC3CFE" w:rsidRDefault="00C85843" w:rsidP="003C540F">
      <w:pPr>
        <w:autoSpaceDE w:val="0"/>
        <w:autoSpaceDN w:val="0"/>
        <w:adjustRightInd w:val="0"/>
        <w:spacing w:after="0" w:line="240" w:lineRule="auto"/>
        <w:jc w:val="both"/>
        <w:rPr>
          <w:rFonts w:ascii="Garamond" w:hAnsi="Garamond"/>
          <w:sz w:val="24"/>
          <w:szCs w:val="24"/>
        </w:rPr>
      </w:pPr>
    </w:p>
    <w:p w:rsidR="00802D08" w:rsidRPr="00890345" w:rsidRDefault="00890345" w:rsidP="00890345">
      <w:pPr>
        <w:autoSpaceDE w:val="0"/>
        <w:autoSpaceDN w:val="0"/>
        <w:adjustRightInd w:val="0"/>
        <w:spacing w:after="0" w:line="240" w:lineRule="auto"/>
        <w:jc w:val="both"/>
        <w:rPr>
          <w:rFonts w:ascii="Garamond" w:hAnsi="Garamond"/>
          <w:b/>
          <w:sz w:val="24"/>
          <w:szCs w:val="24"/>
        </w:rPr>
      </w:pPr>
      <w:r>
        <w:rPr>
          <w:rFonts w:ascii="Garamond" w:hAnsi="Garamond"/>
          <w:b/>
          <w:sz w:val="24"/>
          <w:szCs w:val="24"/>
        </w:rPr>
        <w:lastRenderedPageBreak/>
        <w:t xml:space="preserve">(ii) </w:t>
      </w:r>
      <w:r w:rsidR="00802D08" w:rsidRPr="00890345">
        <w:rPr>
          <w:rFonts w:ascii="Garamond" w:hAnsi="Garamond"/>
          <w:b/>
          <w:sz w:val="24"/>
          <w:szCs w:val="24"/>
        </w:rPr>
        <w:t xml:space="preserve">External debt </w:t>
      </w:r>
    </w:p>
    <w:p w:rsidR="0080125C" w:rsidRDefault="008046F4" w:rsidP="002D512F">
      <w:pPr>
        <w:autoSpaceDE w:val="0"/>
        <w:autoSpaceDN w:val="0"/>
        <w:adjustRightInd w:val="0"/>
        <w:spacing w:after="0" w:line="240" w:lineRule="auto"/>
        <w:jc w:val="both"/>
        <w:rPr>
          <w:rFonts w:ascii="Garamond" w:hAnsi="Garamond"/>
          <w:sz w:val="24"/>
          <w:szCs w:val="24"/>
        </w:rPr>
      </w:pPr>
      <w:r>
        <w:rPr>
          <w:rFonts w:ascii="Garamond" w:hAnsi="Garamond"/>
          <w:sz w:val="24"/>
          <w:szCs w:val="24"/>
        </w:rPr>
        <w:t>In Ethiopia, aggregate public external debt includes t</w:t>
      </w:r>
      <w:r w:rsidRPr="00847ABC">
        <w:rPr>
          <w:rFonts w:ascii="Garamond" w:hAnsi="Garamond"/>
          <w:sz w:val="24"/>
          <w:szCs w:val="24"/>
        </w:rPr>
        <w:t>he central government external debt</w:t>
      </w:r>
      <w:r>
        <w:rPr>
          <w:rFonts w:ascii="Garamond" w:hAnsi="Garamond"/>
          <w:sz w:val="24"/>
          <w:szCs w:val="24"/>
        </w:rPr>
        <w:t xml:space="preserve"> (includes </w:t>
      </w:r>
      <w:r w:rsidRPr="00C9026D">
        <w:rPr>
          <w:rFonts w:ascii="Garamond" w:hAnsi="Garamond"/>
          <w:sz w:val="24"/>
          <w:szCs w:val="24"/>
        </w:rPr>
        <w:t>all external loans contracted between external creditors and MoFEC</w:t>
      </w:r>
      <w:r>
        <w:rPr>
          <w:rFonts w:ascii="Garamond" w:hAnsi="Garamond"/>
          <w:sz w:val="24"/>
          <w:szCs w:val="24"/>
        </w:rPr>
        <w:t>)</w:t>
      </w:r>
      <w:r w:rsidRPr="00847ABC">
        <w:rPr>
          <w:rFonts w:ascii="Garamond" w:hAnsi="Garamond"/>
          <w:sz w:val="24"/>
          <w:szCs w:val="24"/>
        </w:rPr>
        <w:t>, (ii) the government-guaranteed external debt</w:t>
      </w:r>
      <w:r>
        <w:rPr>
          <w:rFonts w:ascii="Garamond" w:hAnsi="Garamond"/>
          <w:sz w:val="24"/>
          <w:szCs w:val="24"/>
        </w:rPr>
        <w:t xml:space="preserve"> (</w:t>
      </w:r>
      <w:r w:rsidRPr="00C9026D">
        <w:rPr>
          <w:rFonts w:ascii="Garamond" w:hAnsi="Garamond"/>
          <w:sz w:val="24"/>
          <w:szCs w:val="24"/>
        </w:rPr>
        <w:t>comprises loans and suppliers credits contracted by public enterprises</w:t>
      </w:r>
      <w:r>
        <w:rPr>
          <w:rStyle w:val="FootnoteReference"/>
          <w:rFonts w:ascii="Garamond" w:hAnsi="Garamond"/>
          <w:sz w:val="24"/>
          <w:szCs w:val="24"/>
        </w:rPr>
        <w:footnoteReference w:id="26"/>
      </w:r>
      <w:r w:rsidRPr="009C172C">
        <w:rPr>
          <w:rFonts w:ascii="Garamond" w:hAnsi="Garamond"/>
          <w:sz w:val="24"/>
          <w:szCs w:val="24"/>
        </w:rPr>
        <w:t xml:space="preserve"> </w:t>
      </w:r>
      <w:r w:rsidRPr="00C9026D">
        <w:rPr>
          <w:rFonts w:ascii="Garamond" w:hAnsi="Garamond"/>
          <w:sz w:val="24"/>
          <w:szCs w:val="24"/>
        </w:rPr>
        <w:t xml:space="preserve">guaranteed by MoFEC </w:t>
      </w:r>
      <w:r>
        <w:rPr>
          <w:rFonts w:ascii="Garamond" w:hAnsi="Garamond"/>
          <w:sz w:val="24"/>
          <w:szCs w:val="24"/>
        </w:rPr>
        <w:t xml:space="preserve">and </w:t>
      </w:r>
      <w:r w:rsidRPr="00C9026D">
        <w:rPr>
          <w:rFonts w:ascii="Garamond" w:hAnsi="Garamond"/>
          <w:sz w:val="24"/>
          <w:szCs w:val="24"/>
        </w:rPr>
        <w:t>the Commercial Bank of Ethiopia (CBE)</w:t>
      </w:r>
      <w:r>
        <w:rPr>
          <w:rFonts w:ascii="Garamond" w:hAnsi="Garamond"/>
          <w:sz w:val="24"/>
          <w:szCs w:val="24"/>
        </w:rPr>
        <w:t>)</w:t>
      </w:r>
      <w:r w:rsidRPr="00C9026D">
        <w:rPr>
          <w:rFonts w:ascii="Garamond" w:hAnsi="Garamond"/>
          <w:sz w:val="24"/>
          <w:szCs w:val="24"/>
        </w:rPr>
        <w:t>, (</w:t>
      </w:r>
      <w:r w:rsidRPr="00847ABC">
        <w:rPr>
          <w:rFonts w:ascii="Garamond" w:hAnsi="Garamond"/>
          <w:sz w:val="24"/>
          <w:szCs w:val="24"/>
        </w:rPr>
        <w:t>iii) the non-guaranteed external debt</w:t>
      </w:r>
      <w:r>
        <w:rPr>
          <w:rFonts w:ascii="Garamond" w:hAnsi="Garamond"/>
          <w:sz w:val="24"/>
          <w:szCs w:val="24"/>
        </w:rPr>
        <w:t xml:space="preserve"> </w:t>
      </w:r>
      <w:r w:rsidRPr="00C9026D">
        <w:rPr>
          <w:rFonts w:ascii="Garamond" w:hAnsi="Garamond"/>
          <w:sz w:val="24"/>
          <w:szCs w:val="24"/>
        </w:rPr>
        <w:t>includ</w:t>
      </w:r>
      <w:r>
        <w:rPr>
          <w:rFonts w:ascii="Garamond" w:hAnsi="Garamond"/>
          <w:sz w:val="24"/>
          <w:szCs w:val="24"/>
        </w:rPr>
        <w:t>ing</w:t>
      </w:r>
      <w:r w:rsidRPr="00C9026D">
        <w:rPr>
          <w:rFonts w:ascii="Garamond" w:hAnsi="Garamond"/>
          <w:sz w:val="24"/>
          <w:szCs w:val="24"/>
        </w:rPr>
        <w:t xml:space="preserve"> loans contracted by public </w:t>
      </w:r>
      <w:r>
        <w:rPr>
          <w:rFonts w:ascii="Garamond" w:hAnsi="Garamond"/>
          <w:sz w:val="24"/>
          <w:szCs w:val="24"/>
        </w:rPr>
        <w:t>e</w:t>
      </w:r>
      <w:r w:rsidRPr="00C9026D">
        <w:rPr>
          <w:rFonts w:ascii="Garamond" w:hAnsi="Garamond"/>
          <w:sz w:val="24"/>
          <w:szCs w:val="24"/>
        </w:rPr>
        <w:t>nterprises</w:t>
      </w:r>
      <w:r>
        <w:rPr>
          <w:rFonts w:ascii="Garamond" w:hAnsi="Garamond"/>
          <w:sz w:val="24"/>
          <w:szCs w:val="24"/>
        </w:rPr>
        <w:t xml:space="preserve"> (mainly </w:t>
      </w:r>
      <w:r w:rsidRPr="00C9026D">
        <w:rPr>
          <w:rFonts w:ascii="Garamond" w:hAnsi="Garamond"/>
          <w:sz w:val="24"/>
          <w:szCs w:val="24"/>
        </w:rPr>
        <w:t>Ethiopian Airlines (EAL) and Ethio-Telecom</w:t>
      </w:r>
      <w:r>
        <w:rPr>
          <w:rFonts w:ascii="Garamond" w:hAnsi="Garamond"/>
          <w:sz w:val="24"/>
          <w:szCs w:val="24"/>
        </w:rPr>
        <w:t xml:space="preserve">) </w:t>
      </w:r>
      <w:r w:rsidRPr="00C9026D">
        <w:rPr>
          <w:rFonts w:ascii="Garamond" w:hAnsi="Garamond"/>
          <w:sz w:val="24"/>
          <w:szCs w:val="24"/>
        </w:rPr>
        <w:t>without government or government owned bank guarantee</w:t>
      </w:r>
      <w:r>
        <w:rPr>
          <w:rFonts w:ascii="Garamond" w:hAnsi="Garamond"/>
          <w:sz w:val="24"/>
          <w:szCs w:val="24"/>
        </w:rPr>
        <w:t>.</w:t>
      </w:r>
      <w:r w:rsidRPr="004908BB">
        <w:rPr>
          <w:rFonts w:ascii="Garamond" w:hAnsi="Garamond"/>
          <w:sz w:val="24"/>
          <w:szCs w:val="24"/>
        </w:rPr>
        <w:t xml:space="preserve"> </w:t>
      </w:r>
      <w:r w:rsidRPr="00847ABC">
        <w:rPr>
          <w:rFonts w:ascii="Garamond" w:hAnsi="Garamond"/>
          <w:sz w:val="24"/>
          <w:szCs w:val="24"/>
        </w:rPr>
        <w:t xml:space="preserve">Total external debt increased from ETB159.2 </w:t>
      </w:r>
      <w:r>
        <w:rPr>
          <w:rFonts w:ascii="Garamond" w:hAnsi="Garamond"/>
          <w:sz w:val="24"/>
          <w:szCs w:val="24"/>
        </w:rPr>
        <w:t>billion</w:t>
      </w:r>
      <w:r w:rsidRPr="00847ABC">
        <w:rPr>
          <w:rFonts w:ascii="Garamond" w:hAnsi="Garamond"/>
          <w:sz w:val="24"/>
          <w:szCs w:val="24"/>
        </w:rPr>
        <w:t xml:space="preserve"> in 2011/12 to ETB 470 billion in 2015/16, grew on average by about 28 percent.</w:t>
      </w:r>
      <w:r>
        <w:rPr>
          <w:rFonts w:ascii="Garamond" w:hAnsi="Garamond"/>
          <w:sz w:val="24"/>
          <w:szCs w:val="24"/>
        </w:rPr>
        <w:t xml:space="preserve"> Total external debt as a share of GDP increased from 21.3 percent to 31.8 percent. Both the central government and public enterprises owed a large share of external debt.</w:t>
      </w:r>
    </w:p>
    <w:p w:rsidR="008046F4" w:rsidRPr="00075FD8" w:rsidRDefault="008046F4" w:rsidP="00C26A15">
      <w:pPr>
        <w:pStyle w:val="Caption"/>
        <w:spacing w:after="0"/>
        <w:rPr>
          <w:rFonts w:ascii="Garamond" w:hAnsi="Garamond"/>
          <w:sz w:val="22"/>
          <w:szCs w:val="22"/>
        </w:rPr>
      </w:pPr>
      <w:bookmarkStart w:id="78" w:name="_Toc486585961"/>
      <w:r w:rsidRPr="00075FD8">
        <w:rPr>
          <w:rFonts w:ascii="Garamond" w:hAnsi="Garamond"/>
          <w:sz w:val="22"/>
          <w:szCs w:val="22"/>
        </w:rPr>
        <w:t xml:space="preserve">Figure </w:t>
      </w:r>
      <w:r w:rsidR="00BF3BBC" w:rsidRPr="00075FD8">
        <w:rPr>
          <w:rFonts w:ascii="Garamond" w:hAnsi="Garamond"/>
          <w:sz w:val="22"/>
          <w:szCs w:val="22"/>
        </w:rPr>
        <w:fldChar w:fldCharType="begin"/>
      </w:r>
      <w:r w:rsidR="00075FD8" w:rsidRPr="00075FD8">
        <w:rPr>
          <w:rFonts w:ascii="Garamond" w:hAnsi="Garamond"/>
          <w:sz w:val="22"/>
          <w:szCs w:val="22"/>
        </w:rPr>
        <w:instrText xml:space="preserve"> SEQ Figure \* ARABIC </w:instrText>
      </w:r>
      <w:r w:rsidR="00BF3BBC" w:rsidRPr="00075FD8">
        <w:rPr>
          <w:rFonts w:ascii="Garamond" w:hAnsi="Garamond"/>
          <w:sz w:val="22"/>
          <w:szCs w:val="22"/>
        </w:rPr>
        <w:fldChar w:fldCharType="separate"/>
      </w:r>
      <w:r w:rsidR="006C24A4">
        <w:rPr>
          <w:rFonts w:ascii="Garamond" w:hAnsi="Garamond"/>
          <w:noProof/>
          <w:sz w:val="22"/>
          <w:szCs w:val="22"/>
        </w:rPr>
        <w:t>26</w:t>
      </w:r>
      <w:r w:rsidR="00BF3BBC" w:rsidRPr="00075FD8">
        <w:rPr>
          <w:rFonts w:ascii="Garamond" w:hAnsi="Garamond"/>
          <w:sz w:val="22"/>
          <w:szCs w:val="22"/>
        </w:rPr>
        <w:fldChar w:fldCharType="end"/>
      </w:r>
      <w:r w:rsidRPr="00075FD8">
        <w:rPr>
          <w:rFonts w:ascii="Garamond" w:hAnsi="Garamond"/>
          <w:sz w:val="22"/>
          <w:szCs w:val="22"/>
        </w:rPr>
        <w:t>: Components of outstanding external debt (Percent of total external debt)</w:t>
      </w:r>
      <w:bookmarkEnd w:id="78"/>
    </w:p>
    <w:p w:rsidR="008046F4" w:rsidRPr="00C83501" w:rsidRDefault="008046F4" w:rsidP="00C26A15">
      <w:pPr>
        <w:autoSpaceDE w:val="0"/>
        <w:autoSpaceDN w:val="0"/>
        <w:adjustRightInd w:val="0"/>
        <w:spacing w:after="0" w:line="240" w:lineRule="auto"/>
        <w:jc w:val="both"/>
        <w:rPr>
          <w:rFonts w:ascii="Garamond" w:hAnsi="Garamond"/>
        </w:rPr>
      </w:pPr>
      <w:r>
        <w:rPr>
          <w:noProof/>
        </w:rPr>
        <w:drawing>
          <wp:inline distT="0" distB="0" distL="0" distR="0">
            <wp:extent cx="5619750" cy="1611086"/>
            <wp:effectExtent l="0" t="0" r="0" b="8255"/>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929D4" w:rsidRPr="00BC3CFE" w:rsidRDefault="003D0F30" w:rsidP="00E929D4">
      <w:pPr>
        <w:autoSpaceDE w:val="0"/>
        <w:autoSpaceDN w:val="0"/>
        <w:adjustRightInd w:val="0"/>
        <w:spacing w:after="0" w:line="240" w:lineRule="auto"/>
        <w:jc w:val="both"/>
        <w:rPr>
          <w:rFonts w:ascii="Garamond" w:hAnsi="Garamond"/>
          <w:sz w:val="24"/>
          <w:szCs w:val="24"/>
        </w:rPr>
      </w:pPr>
      <w:r w:rsidRPr="005A0A56">
        <w:rPr>
          <w:rFonts w:ascii="Garamond" w:hAnsi="Garamond"/>
        </w:rPr>
        <w:t xml:space="preserve">Source: </w:t>
      </w:r>
      <w:r w:rsidR="00E929D4">
        <w:rPr>
          <w:rFonts w:ascii="Garamond" w:hAnsi="Garamond"/>
          <w:sz w:val="24"/>
          <w:szCs w:val="24"/>
        </w:rPr>
        <w:t xml:space="preserve">Public sector debt Statistical Bulletin No.18, </w:t>
      </w:r>
      <w:r w:rsidR="00E929D4" w:rsidRPr="00BC3CFE">
        <w:rPr>
          <w:rFonts w:ascii="Garamond" w:hAnsi="Garamond"/>
          <w:sz w:val="24"/>
          <w:szCs w:val="24"/>
        </w:rPr>
        <w:t>Debt Management Directorate of MoFEC</w:t>
      </w:r>
    </w:p>
    <w:p w:rsidR="00A64494" w:rsidRDefault="00A64494" w:rsidP="00E929D4">
      <w:pPr>
        <w:spacing w:after="0" w:line="240" w:lineRule="auto"/>
        <w:rPr>
          <w:rFonts w:ascii="Garamond" w:hAnsi="Garamond"/>
          <w:sz w:val="24"/>
          <w:szCs w:val="24"/>
        </w:rPr>
      </w:pPr>
    </w:p>
    <w:p w:rsidR="00EF46F9" w:rsidRDefault="003D0F30"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The sectoral distribution of </w:t>
      </w:r>
      <w:r w:rsidR="00CC234B">
        <w:rPr>
          <w:rFonts w:ascii="Garamond" w:hAnsi="Garamond"/>
          <w:sz w:val="24"/>
          <w:szCs w:val="24"/>
        </w:rPr>
        <w:t xml:space="preserve">public </w:t>
      </w:r>
      <w:r>
        <w:rPr>
          <w:rFonts w:ascii="Garamond" w:hAnsi="Garamond"/>
          <w:sz w:val="24"/>
          <w:szCs w:val="24"/>
        </w:rPr>
        <w:t xml:space="preserve">external debt indicates that </w:t>
      </w:r>
      <w:r w:rsidR="00294A30">
        <w:rPr>
          <w:rFonts w:ascii="Garamond" w:hAnsi="Garamond"/>
          <w:sz w:val="24"/>
          <w:szCs w:val="24"/>
        </w:rPr>
        <w:t xml:space="preserve">three sectors, namely transport and communication, highway transport and electricity, gas and steam accounted for two-third of total </w:t>
      </w:r>
      <w:r w:rsidR="00CC234B">
        <w:rPr>
          <w:rFonts w:ascii="Garamond" w:hAnsi="Garamond"/>
          <w:sz w:val="24"/>
          <w:szCs w:val="24"/>
        </w:rPr>
        <w:t xml:space="preserve">public </w:t>
      </w:r>
      <w:r w:rsidR="00294A30">
        <w:rPr>
          <w:rFonts w:ascii="Garamond" w:hAnsi="Garamond"/>
          <w:sz w:val="24"/>
          <w:szCs w:val="24"/>
        </w:rPr>
        <w:t xml:space="preserve">external debt between 2011/12 and 2015/16. </w:t>
      </w:r>
      <w:r w:rsidR="00CC234B">
        <w:rPr>
          <w:rFonts w:ascii="Garamond" w:hAnsi="Garamond"/>
          <w:sz w:val="24"/>
          <w:szCs w:val="24"/>
        </w:rPr>
        <w:t>Public e</w:t>
      </w:r>
      <w:r w:rsidR="00294A30">
        <w:rPr>
          <w:rFonts w:ascii="Garamond" w:hAnsi="Garamond"/>
          <w:sz w:val="24"/>
          <w:szCs w:val="24"/>
        </w:rPr>
        <w:t>xternal money goes to financing infrastructure, a small share goes to financing agriculture (6.9 percent and industry</w:t>
      </w:r>
      <w:r w:rsidR="00D748CE">
        <w:rPr>
          <w:rFonts w:ascii="Garamond" w:hAnsi="Garamond"/>
          <w:sz w:val="24"/>
          <w:szCs w:val="24"/>
        </w:rPr>
        <w:t xml:space="preserve"> (including tourism)</w:t>
      </w:r>
      <w:r w:rsidR="00294A30">
        <w:rPr>
          <w:rFonts w:ascii="Garamond" w:hAnsi="Garamond"/>
          <w:sz w:val="24"/>
          <w:szCs w:val="24"/>
        </w:rPr>
        <w:t xml:space="preserve"> (9.7 percent).   </w:t>
      </w:r>
    </w:p>
    <w:p w:rsidR="00EF46F9" w:rsidRDefault="00EF46F9" w:rsidP="00EF46F9">
      <w:r>
        <w:br w:type="page"/>
      </w:r>
    </w:p>
    <w:p w:rsidR="008046F4" w:rsidRPr="00075FD8" w:rsidRDefault="008046F4" w:rsidP="00C26A15">
      <w:pPr>
        <w:autoSpaceDE w:val="0"/>
        <w:autoSpaceDN w:val="0"/>
        <w:adjustRightInd w:val="0"/>
        <w:spacing w:after="0" w:line="240" w:lineRule="auto"/>
        <w:jc w:val="both"/>
        <w:rPr>
          <w:rFonts w:ascii="Garamond" w:hAnsi="Garamond"/>
        </w:rPr>
      </w:pPr>
      <w:bookmarkStart w:id="79" w:name="_Toc486585972"/>
      <w:r w:rsidRPr="00075FD8">
        <w:rPr>
          <w:rFonts w:ascii="Garamond" w:hAnsi="Garamond"/>
        </w:rPr>
        <w:lastRenderedPageBreak/>
        <w:t xml:space="preserve">Table </w:t>
      </w:r>
      <w:r w:rsidR="00BF3BBC" w:rsidRPr="00075FD8">
        <w:rPr>
          <w:rFonts w:ascii="Garamond" w:hAnsi="Garamond"/>
        </w:rPr>
        <w:fldChar w:fldCharType="begin"/>
      </w:r>
      <w:r w:rsidR="00075FD8" w:rsidRPr="00075FD8">
        <w:rPr>
          <w:rFonts w:ascii="Garamond" w:hAnsi="Garamond"/>
        </w:rPr>
        <w:instrText xml:space="preserve"> SEQ Table \* ARABIC </w:instrText>
      </w:r>
      <w:r w:rsidR="00BF3BBC" w:rsidRPr="00075FD8">
        <w:rPr>
          <w:rFonts w:ascii="Garamond" w:hAnsi="Garamond"/>
        </w:rPr>
        <w:fldChar w:fldCharType="separate"/>
      </w:r>
      <w:r w:rsidR="00051FC4">
        <w:rPr>
          <w:rFonts w:ascii="Garamond" w:hAnsi="Garamond"/>
          <w:noProof/>
        </w:rPr>
        <w:t>2</w:t>
      </w:r>
      <w:r w:rsidR="00BF3BBC" w:rsidRPr="00075FD8">
        <w:rPr>
          <w:rFonts w:ascii="Garamond" w:hAnsi="Garamond"/>
        </w:rPr>
        <w:fldChar w:fldCharType="end"/>
      </w:r>
      <w:r w:rsidRPr="00075FD8">
        <w:rPr>
          <w:rFonts w:ascii="Garamond" w:hAnsi="Garamond"/>
        </w:rPr>
        <w:t>:  Sources of public external debt (Percent of total external debt)</w:t>
      </w:r>
      <w:bookmarkEnd w:id="79"/>
    </w:p>
    <w:tbl>
      <w:tblPr>
        <w:tblW w:w="9280" w:type="dxa"/>
        <w:tblLook w:val="04A0" w:firstRow="1" w:lastRow="0" w:firstColumn="1" w:lastColumn="0" w:noHBand="0" w:noVBand="1"/>
      </w:tblPr>
      <w:tblGrid>
        <w:gridCol w:w="2980"/>
        <w:gridCol w:w="1340"/>
        <w:gridCol w:w="1240"/>
        <w:gridCol w:w="1240"/>
        <w:gridCol w:w="1240"/>
        <w:gridCol w:w="1240"/>
      </w:tblGrid>
      <w:tr w:rsidR="008046F4" w:rsidRPr="002F35FB" w:rsidTr="00A30924">
        <w:trPr>
          <w:trHeight w:val="276"/>
        </w:trPr>
        <w:tc>
          <w:tcPr>
            <w:tcW w:w="2980" w:type="dxa"/>
            <w:tcBorders>
              <w:top w:val="single" w:sz="4" w:space="0" w:color="auto"/>
              <w:bottom w:val="single" w:sz="4" w:space="0" w:color="auto"/>
            </w:tcBorders>
            <w:shd w:val="clear" w:color="auto" w:fill="auto"/>
            <w:noWrap/>
            <w:vAlign w:val="bottom"/>
            <w:hideMark/>
          </w:tcPr>
          <w:p w:rsidR="008046F4" w:rsidRPr="002F35FB" w:rsidRDefault="008046F4" w:rsidP="00C26A15">
            <w:pPr>
              <w:spacing w:after="0" w:line="240" w:lineRule="auto"/>
              <w:rPr>
                <w:rFonts w:ascii="Garamond" w:hAnsi="Garamond"/>
              </w:rPr>
            </w:pPr>
          </w:p>
        </w:tc>
        <w:tc>
          <w:tcPr>
            <w:tcW w:w="1340" w:type="dxa"/>
            <w:tcBorders>
              <w:top w:val="single" w:sz="4" w:space="0" w:color="auto"/>
              <w:bottom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b/>
                <w:bCs/>
              </w:rPr>
            </w:pPr>
            <w:r w:rsidRPr="002F35FB">
              <w:rPr>
                <w:rFonts w:ascii="Garamond" w:hAnsi="Garamond"/>
                <w:b/>
                <w:bCs/>
              </w:rPr>
              <w:t>2011/12</w:t>
            </w:r>
          </w:p>
        </w:tc>
        <w:tc>
          <w:tcPr>
            <w:tcW w:w="1240" w:type="dxa"/>
            <w:tcBorders>
              <w:top w:val="single" w:sz="4" w:space="0" w:color="auto"/>
              <w:bottom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b/>
                <w:bCs/>
              </w:rPr>
            </w:pPr>
            <w:r w:rsidRPr="002F35FB">
              <w:rPr>
                <w:rFonts w:ascii="Garamond" w:hAnsi="Garamond"/>
                <w:b/>
                <w:bCs/>
              </w:rPr>
              <w:t>2012/13</w:t>
            </w:r>
          </w:p>
        </w:tc>
        <w:tc>
          <w:tcPr>
            <w:tcW w:w="1240" w:type="dxa"/>
            <w:tcBorders>
              <w:top w:val="single" w:sz="4" w:space="0" w:color="auto"/>
              <w:bottom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b/>
                <w:bCs/>
              </w:rPr>
            </w:pPr>
            <w:r w:rsidRPr="002F35FB">
              <w:rPr>
                <w:rFonts w:ascii="Garamond" w:hAnsi="Garamond"/>
                <w:b/>
                <w:bCs/>
              </w:rPr>
              <w:t>2013/14</w:t>
            </w:r>
          </w:p>
        </w:tc>
        <w:tc>
          <w:tcPr>
            <w:tcW w:w="1240" w:type="dxa"/>
            <w:tcBorders>
              <w:top w:val="single" w:sz="4" w:space="0" w:color="auto"/>
              <w:bottom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b/>
                <w:bCs/>
              </w:rPr>
            </w:pPr>
            <w:r w:rsidRPr="002F35FB">
              <w:rPr>
                <w:rFonts w:ascii="Garamond" w:hAnsi="Garamond"/>
                <w:b/>
                <w:bCs/>
              </w:rPr>
              <w:t>2014/15</w:t>
            </w:r>
          </w:p>
        </w:tc>
        <w:tc>
          <w:tcPr>
            <w:tcW w:w="1240" w:type="dxa"/>
            <w:tcBorders>
              <w:top w:val="single" w:sz="4" w:space="0" w:color="auto"/>
              <w:bottom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b/>
                <w:bCs/>
              </w:rPr>
            </w:pPr>
            <w:r w:rsidRPr="002F35FB">
              <w:rPr>
                <w:rFonts w:ascii="Garamond" w:hAnsi="Garamond"/>
                <w:b/>
                <w:bCs/>
              </w:rPr>
              <w:t>2015/16</w:t>
            </w:r>
          </w:p>
        </w:tc>
      </w:tr>
      <w:tr w:rsidR="008046F4" w:rsidRPr="002F35FB" w:rsidTr="00A30924">
        <w:trPr>
          <w:trHeight w:val="276"/>
        </w:trPr>
        <w:tc>
          <w:tcPr>
            <w:tcW w:w="2980" w:type="dxa"/>
            <w:tcBorders>
              <w:top w:val="single" w:sz="4" w:space="0" w:color="auto"/>
            </w:tcBorders>
            <w:shd w:val="clear" w:color="auto" w:fill="auto"/>
            <w:noWrap/>
            <w:vAlign w:val="bottom"/>
            <w:hideMark/>
          </w:tcPr>
          <w:p w:rsidR="008046F4" w:rsidRPr="002F35FB" w:rsidRDefault="008046F4" w:rsidP="00C26A15">
            <w:pPr>
              <w:spacing w:after="0" w:line="240" w:lineRule="auto"/>
              <w:rPr>
                <w:rFonts w:ascii="Garamond" w:hAnsi="Garamond"/>
                <w:b/>
                <w:bCs/>
              </w:rPr>
            </w:pPr>
            <w:r w:rsidRPr="002F35FB">
              <w:rPr>
                <w:rFonts w:ascii="Garamond" w:hAnsi="Garamond"/>
                <w:b/>
                <w:bCs/>
              </w:rPr>
              <w:t xml:space="preserve"> Multilateral </w:t>
            </w:r>
          </w:p>
        </w:tc>
        <w:tc>
          <w:tcPr>
            <w:tcW w:w="1340" w:type="dxa"/>
            <w:tcBorders>
              <w:top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45.4</w:t>
            </w:r>
          </w:p>
        </w:tc>
        <w:tc>
          <w:tcPr>
            <w:tcW w:w="1240" w:type="dxa"/>
            <w:tcBorders>
              <w:top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44.8</w:t>
            </w:r>
          </w:p>
        </w:tc>
        <w:tc>
          <w:tcPr>
            <w:tcW w:w="1240" w:type="dxa"/>
            <w:tcBorders>
              <w:top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43.9</w:t>
            </w:r>
          </w:p>
        </w:tc>
        <w:tc>
          <w:tcPr>
            <w:tcW w:w="1240" w:type="dxa"/>
            <w:tcBorders>
              <w:top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34.0</w:t>
            </w:r>
          </w:p>
        </w:tc>
        <w:tc>
          <w:tcPr>
            <w:tcW w:w="1240" w:type="dxa"/>
            <w:tcBorders>
              <w:top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35.9</w:t>
            </w:r>
          </w:p>
        </w:tc>
      </w:tr>
      <w:tr w:rsidR="008046F4" w:rsidRPr="002F35FB" w:rsidTr="00A30924">
        <w:trPr>
          <w:trHeight w:val="276"/>
        </w:trPr>
        <w:tc>
          <w:tcPr>
            <w:tcW w:w="2980" w:type="dxa"/>
            <w:shd w:val="clear" w:color="auto" w:fill="auto"/>
            <w:noWrap/>
            <w:vAlign w:val="bottom"/>
            <w:hideMark/>
          </w:tcPr>
          <w:p w:rsidR="008046F4" w:rsidRPr="002F35FB" w:rsidRDefault="008046F4" w:rsidP="00C26A15">
            <w:pPr>
              <w:spacing w:after="0" w:line="240" w:lineRule="auto"/>
              <w:rPr>
                <w:rFonts w:ascii="Garamond" w:hAnsi="Garamond"/>
                <w:b/>
                <w:bCs/>
              </w:rPr>
            </w:pPr>
            <w:r w:rsidRPr="002F35FB">
              <w:rPr>
                <w:rFonts w:ascii="Garamond" w:hAnsi="Garamond"/>
                <w:b/>
                <w:bCs/>
              </w:rPr>
              <w:t>Bilateral</w:t>
            </w:r>
          </w:p>
        </w:tc>
        <w:tc>
          <w:tcPr>
            <w:tcW w:w="13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25.7</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28.4</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32.2</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30.9</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33.1</w:t>
            </w:r>
          </w:p>
        </w:tc>
      </w:tr>
      <w:tr w:rsidR="008046F4" w:rsidRPr="002F35FB" w:rsidTr="00A30924">
        <w:trPr>
          <w:trHeight w:val="276"/>
        </w:trPr>
        <w:tc>
          <w:tcPr>
            <w:tcW w:w="2980" w:type="dxa"/>
            <w:shd w:val="clear" w:color="auto" w:fill="auto"/>
            <w:noWrap/>
            <w:vAlign w:val="center"/>
            <w:hideMark/>
          </w:tcPr>
          <w:p w:rsidR="008046F4" w:rsidRPr="002F35FB" w:rsidRDefault="008046F4" w:rsidP="00C26A15">
            <w:pPr>
              <w:spacing w:after="0" w:line="240" w:lineRule="auto"/>
              <w:jc w:val="right"/>
              <w:rPr>
                <w:rFonts w:ascii="Garamond" w:hAnsi="Garamond" w:cs="Arial"/>
              </w:rPr>
            </w:pPr>
            <w:r w:rsidRPr="002F35FB">
              <w:rPr>
                <w:rFonts w:ascii="Garamond" w:hAnsi="Garamond" w:cs="Arial"/>
              </w:rPr>
              <w:t xml:space="preserve">    Paris Club</w:t>
            </w:r>
          </w:p>
        </w:tc>
        <w:tc>
          <w:tcPr>
            <w:tcW w:w="13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4.6</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3.6</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2.8</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2.1</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1.8</w:t>
            </w:r>
          </w:p>
        </w:tc>
      </w:tr>
      <w:tr w:rsidR="008046F4" w:rsidRPr="002F35FB" w:rsidTr="00A30924">
        <w:trPr>
          <w:trHeight w:val="276"/>
        </w:trPr>
        <w:tc>
          <w:tcPr>
            <w:tcW w:w="2980" w:type="dxa"/>
            <w:shd w:val="clear" w:color="auto" w:fill="auto"/>
            <w:noWrap/>
            <w:vAlign w:val="center"/>
            <w:hideMark/>
          </w:tcPr>
          <w:p w:rsidR="008046F4" w:rsidRPr="002F35FB" w:rsidRDefault="008046F4" w:rsidP="00C26A15">
            <w:pPr>
              <w:spacing w:after="0" w:line="240" w:lineRule="auto"/>
              <w:jc w:val="right"/>
              <w:rPr>
                <w:rFonts w:ascii="Garamond" w:hAnsi="Garamond" w:cs="Arial"/>
              </w:rPr>
            </w:pPr>
            <w:r w:rsidRPr="002F35FB">
              <w:rPr>
                <w:rFonts w:ascii="Garamond" w:hAnsi="Garamond" w:cs="Arial"/>
              </w:rPr>
              <w:t xml:space="preserve">    Non-Paris Club</w:t>
            </w:r>
          </w:p>
        </w:tc>
        <w:tc>
          <w:tcPr>
            <w:tcW w:w="13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21.1</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24.9</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29.4</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28.8</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31.3</w:t>
            </w:r>
          </w:p>
        </w:tc>
      </w:tr>
      <w:tr w:rsidR="008046F4" w:rsidRPr="002F35FB" w:rsidTr="00A30924">
        <w:trPr>
          <w:trHeight w:val="276"/>
        </w:trPr>
        <w:tc>
          <w:tcPr>
            <w:tcW w:w="2980" w:type="dxa"/>
            <w:shd w:val="clear" w:color="auto" w:fill="auto"/>
            <w:noWrap/>
            <w:vAlign w:val="bottom"/>
            <w:hideMark/>
          </w:tcPr>
          <w:p w:rsidR="008046F4" w:rsidRPr="002F35FB" w:rsidRDefault="008046F4" w:rsidP="00C26A15">
            <w:pPr>
              <w:spacing w:after="0" w:line="240" w:lineRule="auto"/>
              <w:rPr>
                <w:rFonts w:ascii="Garamond" w:hAnsi="Garamond"/>
                <w:b/>
                <w:bCs/>
              </w:rPr>
            </w:pPr>
            <w:r w:rsidRPr="002F35FB">
              <w:rPr>
                <w:rFonts w:ascii="Garamond" w:hAnsi="Garamond"/>
                <w:b/>
                <w:bCs/>
              </w:rPr>
              <w:t xml:space="preserve">Private creditors </w:t>
            </w:r>
          </w:p>
        </w:tc>
        <w:tc>
          <w:tcPr>
            <w:tcW w:w="13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28.9</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26.7</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23.9</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35.1</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31.0</w:t>
            </w:r>
          </w:p>
        </w:tc>
      </w:tr>
      <w:tr w:rsidR="008046F4" w:rsidRPr="002F35FB" w:rsidTr="00A30924">
        <w:trPr>
          <w:trHeight w:val="276"/>
        </w:trPr>
        <w:tc>
          <w:tcPr>
            <w:tcW w:w="2980" w:type="dxa"/>
            <w:shd w:val="clear" w:color="auto" w:fill="auto"/>
            <w:noWrap/>
            <w:vAlign w:val="center"/>
            <w:hideMark/>
          </w:tcPr>
          <w:p w:rsidR="008046F4" w:rsidRPr="002F35FB" w:rsidRDefault="008046F4" w:rsidP="00C26A15">
            <w:pPr>
              <w:spacing w:after="0" w:line="240" w:lineRule="auto"/>
              <w:jc w:val="right"/>
              <w:rPr>
                <w:rFonts w:ascii="Garamond" w:hAnsi="Garamond" w:cs="Arial"/>
              </w:rPr>
            </w:pPr>
            <w:r w:rsidRPr="002F35FB">
              <w:rPr>
                <w:rFonts w:ascii="Garamond" w:hAnsi="Garamond" w:cs="Arial"/>
              </w:rPr>
              <w:t xml:space="preserve">   Commercial Banks</w:t>
            </w:r>
          </w:p>
        </w:tc>
        <w:tc>
          <w:tcPr>
            <w:tcW w:w="13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13.7</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14.6</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14.5</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13.6</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12.0</w:t>
            </w:r>
          </w:p>
        </w:tc>
      </w:tr>
      <w:tr w:rsidR="008046F4" w:rsidRPr="002F35FB" w:rsidTr="00A30924">
        <w:trPr>
          <w:trHeight w:val="276"/>
        </w:trPr>
        <w:tc>
          <w:tcPr>
            <w:tcW w:w="2980" w:type="dxa"/>
            <w:shd w:val="clear" w:color="auto" w:fill="auto"/>
            <w:noWrap/>
            <w:vAlign w:val="center"/>
            <w:hideMark/>
          </w:tcPr>
          <w:p w:rsidR="008046F4" w:rsidRPr="002F35FB" w:rsidRDefault="008046F4" w:rsidP="00C26A15">
            <w:pPr>
              <w:spacing w:after="0" w:line="240" w:lineRule="auto"/>
              <w:jc w:val="right"/>
              <w:rPr>
                <w:rFonts w:ascii="Garamond" w:hAnsi="Garamond" w:cs="Arial"/>
              </w:rPr>
            </w:pPr>
            <w:r w:rsidRPr="002F35FB">
              <w:rPr>
                <w:rFonts w:ascii="Garamond" w:hAnsi="Garamond" w:cs="Arial"/>
              </w:rPr>
              <w:t xml:space="preserve">    Suppliers </w:t>
            </w:r>
          </w:p>
        </w:tc>
        <w:tc>
          <w:tcPr>
            <w:tcW w:w="13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15.3</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12.2</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9.4</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16.3</w:t>
            </w:r>
          </w:p>
        </w:tc>
        <w:tc>
          <w:tcPr>
            <w:tcW w:w="1240" w:type="dxa"/>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14.4</w:t>
            </w:r>
          </w:p>
        </w:tc>
      </w:tr>
      <w:tr w:rsidR="008046F4" w:rsidRPr="002F35FB" w:rsidTr="00A30924">
        <w:trPr>
          <w:trHeight w:val="288"/>
        </w:trPr>
        <w:tc>
          <w:tcPr>
            <w:tcW w:w="2980" w:type="dxa"/>
            <w:tcBorders>
              <w:bottom w:val="single" w:sz="4" w:space="0" w:color="auto"/>
            </w:tcBorders>
            <w:shd w:val="clear" w:color="auto" w:fill="auto"/>
            <w:noWrap/>
            <w:vAlign w:val="bottom"/>
            <w:hideMark/>
          </w:tcPr>
          <w:p w:rsidR="008046F4" w:rsidRPr="002F35FB" w:rsidRDefault="008046F4" w:rsidP="00C26A15">
            <w:pPr>
              <w:spacing w:after="0" w:line="240" w:lineRule="auto"/>
              <w:jc w:val="right"/>
              <w:rPr>
                <w:rFonts w:ascii="Garamond" w:hAnsi="Garamond" w:cs="Arial"/>
              </w:rPr>
            </w:pPr>
            <w:r w:rsidRPr="002F35FB">
              <w:rPr>
                <w:rFonts w:ascii="Garamond" w:hAnsi="Garamond" w:cs="Arial"/>
              </w:rPr>
              <w:t xml:space="preserve">   Bond and Notes Holders (Eurobond) </w:t>
            </w:r>
          </w:p>
        </w:tc>
        <w:tc>
          <w:tcPr>
            <w:tcW w:w="1340" w:type="dxa"/>
            <w:tcBorders>
              <w:bottom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0.0</w:t>
            </w:r>
          </w:p>
        </w:tc>
        <w:tc>
          <w:tcPr>
            <w:tcW w:w="1240" w:type="dxa"/>
            <w:tcBorders>
              <w:bottom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0.0</w:t>
            </w:r>
          </w:p>
        </w:tc>
        <w:tc>
          <w:tcPr>
            <w:tcW w:w="1240" w:type="dxa"/>
            <w:tcBorders>
              <w:bottom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0.0</w:t>
            </w:r>
          </w:p>
        </w:tc>
        <w:tc>
          <w:tcPr>
            <w:tcW w:w="1240" w:type="dxa"/>
            <w:tcBorders>
              <w:bottom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5.2</w:t>
            </w:r>
          </w:p>
        </w:tc>
        <w:tc>
          <w:tcPr>
            <w:tcW w:w="1240" w:type="dxa"/>
            <w:tcBorders>
              <w:bottom w:val="single" w:sz="4" w:space="0" w:color="auto"/>
            </w:tcBorders>
            <w:shd w:val="clear" w:color="auto" w:fill="auto"/>
            <w:noWrap/>
            <w:vAlign w:val="bottom"/>
            <w:hideMark/>
          </w:tcPr>
          <w:p w:rsidR="008046F4" w:rsidRPr="002F35FB" w:rsidRDefault="008046F4" w:rsidP="00C26A15">
            <w:pPr>
              <w:spacing w:after="0" w:line="240" w:lineRule="auto"/>
              <w:jc w:val="center"/>
              <w:rPr>
                <w:rFonts w:ascii="Garamond" w:hAnsi="Garamond"/>
              </w:rPr>
            </w:pPr>
            <w:r w:rsidRPr="002F35FB">
              <w:rPr>
                <w:rFonts w:ascii="Garamond" w:hAnsi="Garamond"/>
              </w:rPr>
              <w:t>4.6</w:t>
            </w:r>
          </w:p>
        </w:tc>
      </w:tr>
    </w:tbl>
    <w:p w:rsidR="00AC4D1E" w:rsidRPr="00BC3CFE" w:rsidRDefault="00AC4D1E" w:rsidP="00AC4D1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Source: Public sector debt Statistical Bulletin No.18, </w:t>
      </w:r>
      <w:r w:rsidRPr="00BC3CFE">
        <w:rPr>
          <w:rFonts w:ascii="Garamond" w:hAnsi="Garamond"/>
          <w:sz w:val="24"/>
          <w:szCs w:val="24"/>
        </w:rPr>
        <w:t>Debt Management Directorate of MoFEC</w:t>
      </w:r>
    </w:p>
    <w:p w:rsidR="003D0F30" w:rsidRPr="003D0F30" w:rsidRDefault="003D0F30" w:rsidP="003D0F30">
      <w:pPr>
        <w:pStyle w:val="Caption"/>
        <w:spacing w:after="0"/>
        <w:rPr>
          <w:rFonts w:ascii="Garamond" w:hAnsi="Garamond"/>
          <w:sz w:val="22"/>
          <w:szCs w:val="22"/>
        </w:rPr>
      </w:pPr>
      <w:bookmarkStart w:id="80" w:name="_Toc486585962"/>
      <w:r w:rsidRPr="003D0F30">
        <w:rPr>
          <w:rFonts w:ascii="Garamond" w:hAnsi="Garamond"/>
          <w:sz w:val="22"/>
          <w:szCs w:val="22"/>
        </w:rPr>
        <w:t xml:space="preserve">Figure </w:t>
      </w:r>
      <w:r w:rsidR="00BF3BBC" w:rsidRPr="003D0F30">
        <w:rPr>
          <w:rFonts w:ascii="Garamond" w:hAnsi="Garamond"/>
          <w:sz w:val="22"/>
          <w:szCs w:val="22"/>
        </w:rPr>
        <w:fldChar w:fldCharType="begin"/>
      </w:r>
      <w:r w:rsidRPr="003D0F30">
        <w:rPr>
          <w:rFonts w:ascii="Garamond" w:hAnsi="Garamond"/>
          <w:sz w:val="22"/>
          <w:szCs w:val="22"/>
        </w:rPr>
        <w:instrText xml:space="preserve"> SEQ Figure \* ARABIC </w:instrText>
      </w:r>
      <w:r w:rsidR="00BF3BBC" w:rsidRPr="003D0F30">
        <w:rPr>
          <w:rFonts w:ascii="Garamond" w:hAnsi="Garamond"/>
          <w:sz w:val="22"/>
          <w:szCs w:val="22"/>
        </w:rPr>
        <w:fldChar w:fldCharType="separate"/>
      </w:r>
      <w:r w:rsidR="006C24A4">
        <w:rPr>
          <w:rFonts w:ascii="Garamond" w:hAnsi="Garamond"/>
          <w:noProof/>
          <w:sz w:val="22"/>
          <w:szCs w:val="22"/>
        </w:rPr>
        <w:t>27</w:t>
      </w:r>
      <w:r w:rsidR="00BF3BBC" w:rsidRPr="003D0F30">
        <w:rPr>
          <w:rFonts w:ascii="Garamond" w:hAnsi="Garamond"/>
          <w:sz w:val="22"/>
          <w:szCs w:val="22"/>
        </w:rPr>
        <w:fldChar w:fldCharType="end"/>
      </w:r>
      <w:r w:rsidRPr="003D0F30">
        <w:rPr>
          <w:rFonts w:ascii="Garamond" w:hAnsi="Garamond"/>
          <w:sz w:val="22"/>
          <w:szCs w:val="22"/>
        </w:rPr>
        <w:t>: Public external debt by sector (Disbursements)</w:t>
      </w:r>
      <w:bookmarkEnd w:id="80"/>
    </w:p>
    <w:p w:rsidR="003D0F30" w:rsidRDefault="003D0F30" w:rsidP="008046F4">
      <w:pPr>
        <w:autoSpaceDE w:val="0"/>
        <w:autoSpaceDN w:val="0"/>
        <w:adjustRightInd w:val="0"/>
        <w:spacing w:after="0" w:line="360" w:lineRule="auto"/>
        <w:jc w:val="both"/>
        <w:rPr>
          <w:rFonts w:ascii="Garamond" w:hAnsi="Garamond"/>
        </w:rPr>
      </w:pPr>
      <w:r>
        <w:rPr>
          <w:noProof/>
        </w:rPr>
        <w:drawing>
          <wp:inline distT="0" distB="0" distL="0" distR="0">
            <wp:extent cx="5943600" cy="2216552"/>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C4D1E" w:rsidRPr="00BC3CFE" w:rsidRDefault="00AC4D1E" w:rsidP="00AC4D1E">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Source: Public sector debt Statistical Bulletin No.18, </w:t>
      </w:r>
      <w:r w:rsidRPr="00BC3CFE">
        <w:rPr>
          <w:rFonts w:ascii="Garamond" w:hAnsi="Garamond"/>
          <w:sz w:val="24"/>
          <w:szCs w:val="24"/>
        </w:rPr>
        <w:t>Debt Management Directorate of MoFEC</w:t>
      </w:r>
    </w:p>
    <w:p w:rsidR="001E570B" w:rsidRDefault="008046F4" w:rsidP="00C26A15">
      <w:pPr>
        <w:autoSpaceDE w:val="0"/>
        <w:autoSpaceDN w:val="0"/>
        <w:adjustRightInd w:val="0"/>
        <w:spacing w:after="0" w:line="240" w:lineRule="auto"/>
        <w:jc w:val="both"/>
        <w:rPr>
          <w:rFonts w:ascii="Garamond" w:hAnsi="Garamond"/>
          <w:sz w:val="24"/>
          <w:szCs w:val="24"/>
        </w:rPr>
      </w:pPr>
      <w:r w:rsidRPr="005170FE">
        <w:rPr>
          <w:rFonts w:ascii="Garamond" w:hAnsi="Garamond"/>
          <w:sz w:val="24"/>
          <w:szCs w:val="24"/>
        </w:rPr>
        <w:t>The AAAA recognizes the IMF and World Bank debt sustainability analysis</w:t>
      </w:r>
      <w:r w:rsidR="00F25D9B">
        <w:rPr>
          <w:rFonts w:ascii="Garamond" w:hAnsi="Garamond"/>
          <w:sz w:val="24"/>
          <w:szCs w:val="24"/>
        </w:rPr>
        <w:t xml:space="preserve"> framework</w:t>
      </w:r>
      <w:r w:rsidRPr="005170FE">
        <w:rPr>
          <w:rFonts w:ascii="Garamond" w:hAnsi="Garamond"/>
          <w:sz w:val="24"/>
          <w:szCs w:val="24"/>
        </w:rPr>
        <w:t xml:space="preserve">. </w:t>
      </w:r>
      <w:r>
        <w:rPr>
          <w:rFonts w:ascii="Garamond" w:hAnsi="Garamond"/>
          <w:sz w:val="24"/>
          <w:szCs w:val="24"/>
        </w:rPr>
        <w:t xml:space="preserve">Key debt sustainability indicators include </w:t>
      </w:r>
      <w:r w:rsidRPr="005170FE">
        <w:rPr>
          <w:rFonts w:ascii="Garamond" w:hAnsi="Garamond"/>
          <w:sz w:val="24"/>
          <w:szCs w:val="24"/>
        </w:rPr>
        <w:t>debt-to-GDP ratio</w:t>
      </w:r>
      <w:r>
        <w:rPr>
          <w:rFonts w:ascii="Garamond" w:hAnsi="Garamond"/>
          <w:sz w:val="24"/>
          <w:szCs w:val="24"/>
        </w:rPr>
        <w:t>, d</w:t>
      </w:r>
      <w:r w:rsidRPr="005170FE">
        <w:rPr>
          <w:rFonts w:ascii="Garamond" w:hAnsi="Garamond"/>
          <w:sz w:val="24"/>
          <w:szCs w:val="24"/>
        </w:rPr>
        <w:t xml:space="preserve">ebt-to-revenue ratio </w:t>
      </w:r>
      <w:r>
        <w:rPr>
          <w:rFonts w:ascii="Garamond" w:hAnsi="Garamond"/>
          <w:sz w:val="24"/>
          <w:szCs w:val="24"/>
        </w:rPr>
        <w:t xml:space="preserve">and debt-to-export ratio and these indicate the </w:t>
      </w:r>
      <w:r w:rsidRPr="005170FE">
        <w:rPr>
          <w:rFonts w:ascii="Garamond" w:hAnsi="Garamond"/>
          <w:sz w:val="24"/>
          <w:szCs w:val="24"/>
        </w:rPr>
        <w:t xml:space="preserve">capacity to contract loans and repay them. </w:t>
      </w:r>
      <w:r>
        <w:rPr>
          <w:rFonts w:ascii="Garamond" w:hAnsi="Garamond"/>
          <w:sz w:val="24"/>
          <w:szCs w:val="24"/>
        </w:rPr>
        <w:t xml:space="preserve">All indicators show increasing trend between 2011/12 and 2015/16 (Table </w:t>
      </w:r>
      <w:r w:rsidR="009B34ED">
        <w:rPr>
          <w:rFonts w:ascii="Garamond" w:hAnsi="Garamond"/>
          <w:sz w:val="24"/>
          <w:szCs w:val="24"/>
        </w:rPr>
        <w:t>3</w:t>
      </w:r>
      <w:r>
        <w:rPr>
          <w:rFonts w:ascii="Garamond" w:hAnsi="Garamond"/>
          <w:sz w:val="24"/>
          <w:szCs w:val="24"/>
        </w:rPr>
        <w:t xml:space="preserve">). </w:t>
      </w:r>
    </w:p>
    <w:p w:rsidR="008046F4" w:rsidRPr="00075FD8" w:rsidRDefault="008046F4" w:rsidP="00C26A15">
      <w:pPr>
        <w:pStyle w:val="Caption"/>
        <w:pBdr>
          <w:bottom w:val="single" w:sz="4" w:space="1" w:color="auto"/>
        </w:pBdr>
        <w:spacing w:after="0"/>
        <w:rPr>
          <w:rFonts w:ascii="Garamond" w:hAnsi="Garamond"/>
          <w:sz w:val="22"/>
          <w:szCs w:val="22"/>
        </w:rPr>
      </w:pPr>
      <w:bookmarkStart w:id="81" w:name="_Toc486585973"/>
      <w:r w:rsidRPr="00075FD8">
        <w:rPr>
          <w:rFonts w:ascii="Garamond" w:hAnsi="Garamond"/>
          <w:sz w:val="22"/>
          <w:szCs w:val="22"/>
        </w:rPr>
        <w:t xml:space="preserve">Table </w:t>
      </w:r>
      <w:r w:rsidR="00BF3BBC" w:rsidRPr="00075FD8">
        <w:rPr>
          <w:rFonts w:ascii="Garamond" w:hAnsi="Garamond"/>
          <w:sz w:val="22"/>
          <w:szCs w:val="22"/>
        </w:rPr>
        <w:fldChar w:fldCharType="begin"/>
      </w:r>
      <w:r w:rsidR="00075FD8" w:rsidRPr="00075FD8">
        <w:rPr>
          <w:rFonts w:ascii="Garamond" w:hAnsi="Garamond"/>
          <w:sz w:val="22"/>
          <w:szCs w:val="22"/>
        </w:rPr>
        <w:instrText xml:space="preserve"> SEQ Table \* ARABIC </w:instrText>
      </w:r>
      <w:r w:rsidR="00BF3BBC" w:rsidRPr="00075FD8">
        <w:rPr>
          <w:rFonts w:ascii="Garamond" w:hAnsi="Garamond"/>
          <w:sz w:val="22"/>
          <w:szCs w:val="22"/>
        </w:rPr>
        <w:fldChar w:fldCharType="separate"/>
      </w:r>
      <w:r w:rsidR="00051FC4">
        <w:rPr>
          <w:rFonts w:ascii="Garamond" w:hAnsi="Garamond"/>
          <w:noProof/>
          <w:sz w:val="22"/>
          <w:szCs w:val="22"/>
        </w:rPr>
        <w:t>3</w:t>
      </w:r>
      <w:r w:rsidR="00BF3BBC" w:rsidRPr="00075FD8">
        <w:rPr>
          <w:rFonts w:ascii="Garamond" w:hAnsi="Garamond"/>
          <w:sz w:val="22"/>
          <w:szCs w:val="22"/>
        </w:rPr>
        <w:fldChar w:fldCharType="end"/>
      </w:r>
      <w:r w:rsidRPr="00075FD8">
        <w:rPr>
          <w:rFonts w:ascii="Garamond" w:hAnsi="Garamond"/>
          <w:sz w:val="22"/>
          <w:szCs w:val="22"/>
        </w:rPr>
        <w:t>: Key indicators of public external debt</w:t>
      </w:r>
      <w:bookmarkEnd w:id="81"/>
    </w:p>
    <w:tbl>
      <w:tblPr>
        <w:tblW w:w="9897" w:type="dxa"/>
        <w:tblLook w:val="04A0" w:firstRow="1" w:lastRow="0" w:firstColumn="1" w:lastColumn="0" w:noHBand="0" w:noVBand="1"/>
      </w:tblPr>
      <w:tblGrid>
        <w:gridCol w:w="4320"/>
        <w:gridCol w:w="1189"/>
        <w:gridCol w:w="1097"/>
        <w:gridCol w:w="1097"/>
        <w:gridCol w:w="1097"/>
        <w:gridCol w:w="1097"/>
      </w:tblGrid>
      <w:tr w:rsidR="008046F4" w:rsidRPr="005170FE" w:rsidTr="00A30924">
        <w:trPr>
          <w:trHeight w:val="300"/>
        </w:trPr>
        <w:tc>
          <w:tcPr>
            <w:tcW w:w="4320" w:type="dxa"/>
            <w:tcBorders>
              <w:top w:val="nil"/>
              <w:left w:val="nil"/>
              <w:bottom w:val="single" w:sz="4" w:space="0" w:color="auto"/>
              <w:right w:val="nil"/>
            </w:tcBorders>
            <w:shd w:val="clear" w:color="auto" w:fill="auto"/>
            <w:noWrap/>
            <w:vAlign w:val="bottom"/>
            <w:hideMark/>
          </w:tcPr>
          <w:p w:rsidR="008046F4" w:rsidRPr="005170FE" w:rsidRDefault="008046F4" w:rsidP="00C26A15">
            <w:pPr>
              <w:spacing w:after="0" w:line="240" w:lineRule="auto"/>
              <w:rPr>
                <w:rFonts w:ascii="Garamond" w:hAnsi="Garamond"/>
              </w:rPr>
            </w:pPr>
          </w:p>
        </w:tc>
        <w:tc>
          <w:tcPr>
            <w:tcW w:w="1189" w:type="dxa"/>
            <w:tcBorders>
              <w:top w:val="nil"/>
              <w:left w:val="nil"/>
              <w:bottom w:val="single" w:sz="4" w:space="0" w:color="auto"/>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b/>
                <w:bCs/>
              </w:rPr>
            </w:pPr>
            <w:r w:rsidRPr="005170FE">
              <w:rPr>
                <w:rFonts w:ascii="Garamond" w:hAnsi="Garamond"/>
                <w:b/>
                <w:bCs/>
              </w:rPr>
              <w:t>2011/12</w:t>
            </w:r>
          </w:p>
        </w:tc>
        <w:tc>
          <w:tcPr>
            <w:tcW w:w="1097" w:type="dxa"/>
            <w:tcBorders>
              <w:top w:val="nil"/>
              <w:left w:val="nil"/>
              <w:bottom w:val="single" w:sz="4" w:space="0" w:color="auto"/>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b/>
                <w:bCs/>
              </w:rPr>
            </w:pPr>
            <w:r w:rsidRPr="005170FE">
              <w:rPr>
                <w:rFonts w:ascii="Garamond" w:hAnsi="Garamond"/>
                <w:b/>
                <w:bCs/>
              </w:rPr>
              <w:t>2012/13</w:t>
            </w:r>
          </w:p>
        </w:tc>
        <w:tc>
          <w:tcPr>
            <w:tcW w:w="1097" w:type="dxa"/>
            <w:tcBorders>
              <w:top w:val="nil"/>
              <w:left w:val="nil"/>
              <w:bottom w:val="single" w:sz="4" w:space="0" w:color="auto"/>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b/>
                <w:bCs/>
              </w:rPr>
            </w:pPr>
            <w:r w:rsidRPr="005170FE">
              <w:rPr>
                <w:rFonts w:ascii="Garamond" w:hAnsi="Garamond"/>
                <w:b/>
                <w:bCs/>
              </w:rPr>
              <w:t>2013/14</w:t>
            </w:r>
          </w:p>
        </w:tc>
        <w:tc>
          <w:tcPr>
            <w:tcW w:w="1097" w:type="dxa"/>
            <w:tcBorders>
              <w:top w:val="nil"/>
              <w:left w:val="nil"/>
              <w:bottom w:val="single" w:sz="4" w:space="0" w:color="auto"/>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b/>
                <w:bCs/>
              </w:rPr>
            </w:pPr>
            <w:r w:rsidRPr="005170FE">
              <w:rPr>
                <w:rFonts w:ascii="Garamond" w:hAnsi="Garamond"/>
                <w:b/>
                <w:bCs/>
              </w:rPr>
              <w:t>2014/15</w:t>
            </w:r>
          </w:p>
        </w:tc>
        <w:tc>
          <w:tcPr>
            <w:tcW w:w="1097" w:type="dxa"/>
            <w:tcBorders>
              <w:top w:val="nil"/>
              <w:left w:val="nil"/>
              <w:bottom w:val="single" w:sz="4" w:space="0" w:color="auto"/>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b/>
                <w:bCs/>
              </w:rPr>
            </w:pPr>
            <w:r w:rsidRPr="005170FE">
              <w:rPr>
                <w:rFonts w:ascii="Garamond" w:hAnsi="Garamond"/>
                <w:b/>
                <w:bCs/>
              </w:rPr>
              <w:t>2015/16</w:t>
            </w:r>
          </w:p>
        </w:tc>
      </w:tr>
      <w:tr w:rsidR="008046F4" w:rsidRPr="002E2084" w:rsidTr="00A30924">
        <w:trPr>
          <w:trHeight w:val="300"/>
        </w:trPr>
        <w:tc>
          <w:tcPr>
            <w:tcW w:w="4320" w:type="dxa"/>
            <w:tcBorders>
              <w:top w:val="single" w:sz="4" w:space="0" w:color="auto"/>
              <w:left w:val="nil"/>
              <w:bottom w:val="nil"/>
              <w:right w:val="nil"/>
            </w:tcBorders>
            <w:shd w:val="clear" w:color="auto" w:fill="auto"/>
            <w:noWrap/>
            <w:vAlign w:val="bottom"/>
            <w:hideMark/>
          </w:tcPr>
          <w:p w:rsidR="008046F4" w:rsidRPr="005170FE" w:rsidRDefault="008046F4" w:rsidP="00C26A15">
            <w:pPr>
              <w:spacing w:after="0" w:line="240" w:lineRule="auto"/>
              <w:rPr>
                <w:rFonts w:ascii="Garamond" w:hAnsi="Garamond"/>
              </w:rPr>
            </w:pPr>
            <w:r w:rsidRPr="005170FE">
              <w:rPr>
                <w:rFonts w:ascii="Garamond" w:hAnsi="Garamond"/>
              </w:rPr>
              <w:t>Public external debt as % of GDP</w:t>
            </w:r>
          </w:p>
        </w:tc>
        <w:tc>
          <w:tcPr>
            <w:tcW w:w="1189" w:type="dxa"/>
            <w:tcBorders>
              <w:top w:val="single" w:sz="4" w:space="0" w:color="auto"/>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sidRPr="002E2084">
              <w:rPr>
                <w:rFonts w:ascii="Garamond" w:hAnsi="Garamond"/>
                <w:bCs/>
              </w:rPr>
              <w:t>21.3</w:t>
            </w:r>
          </w:p>
        </w:tc>
        <w:tc>
          <w:tcPr>
            <w:tcW w:w="1097" w:type="dxa"/>
            <w:tcBorders>
              <w:top w:val="single" w:sz="4" w:space="0" w:color="auto"/>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Pr>
                <w:rFonts w:ascii="Garamond" w:hAnsi="Garamond"/>
                <w:bCs/>
              </w:rPr>
              <w:t>24.2</w:t>
            </w:r>
          </w:p>
        </w:tc>
        <w:tc>
          <w:tcPr>
            <w:tcW w:w="1097" w:type="dxa"/>
            <w:tcBorders>
              <w:top w:val="single" w:sz="4" w:space="0" w:color="auto"/>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Pr>
                <w:rFonts w:ascii="Garamond" w:hAnsi="Garamond"/>
                <w:bCs/>
              </w:rPr>
              <w:t>26.2</w:t>
            </w:r>
          </w:p>
        </w:tc>
        <w:tc>
          <w:tcPr>
            <w:tcW w:w="1097" w:type="dxa"/>
            <w:tcBorders>
              <w:top w:val="single" w:sz="4" w:space="0" w:color="auto"/>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sidRPr="002E2084">
              <w:rPr>
                <w:rFonts w:ascii="Garamond" w:hAnsi="Garamond"/>
                <w:bCs/>
              </w:rPr>
              <w:t>31.7</w:t>
            </w:r>
          </w:p>
        </w:tc>
        <w:tc>
          <w:tcPr>
            <w:tcW w:w="1097" w:type="dxa"/>
            <w:tcBorders>
              <w:top w:val="single" w:sz="4" w:space="0" w:color="auto"/>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sidRPr="002E2084">
              <w:rPr>
                <w:rFonts w:ascii="Garamond" w:hAnsi="Garamond"/>
                <w:bCs/>
              </w:rPr>
              <w:t>31.</w:t>
            </w:r>
            <w:r>
              <w:rPr>
                <w:rFonts w:ascii="Garamond" w:hAnsi="Garamond"/>
                <w:bCs/>
              </w:rPr>
              <w:t>8</w:t>
            </w:r>
          </w:p>
        </w:tc>
      </w:tr>
      <w:tr w:rsidR="008046F4" w:rsidRPr="002E2084" w:rsidTr="00A30924">
        <w:trPr>
          <w:trHeight w:val="300"/>
        </w:trPr>
        <w:tc>
          <w:tcPr>
            <w:tcW w:w="4320"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rPr>
                <w:rFonts w:ascii="Garamond" w:hAnsi="Garamond"/>
              </w:rPr>
            </w:pPr>
            <w:r w:rsidRPr="005170FE">
              <w:rPr>
                <w:rFonts w:ascii="Garamond" w:hAnsi="Garamond"/>
              </w:rPr>
              <w:t>Public external debt as % of revenue</w:t>
            </w:r>
          </w:p>
        </w:tc>
        <w:tc>
          <w:tcPr>
            <w:tcW w:w="1189" w:type="dxa"/>
            <w:tcBorders>
              <w:top w:val="nil"/>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sidRPr="002E2084">
              <w:rPr>
                <w:rFonts w:ascii="Garamond" w:hAnsi="Garamond"/>
                <w:bCs/>
              </w:rPr>
              <w:t>154.7</w:t>
            </w:r>
          </w:p>
        </w:tc>
        <w:tc>
          <w:tcPr>
            <w:tcW w:w="1097" w:type="dxa"/>
            <w:tcBorders>
              <w:top w:val="nil"/>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Pr>
                <w:rFonts w:ascii="Garamond" w:hAnsi="Garamond"/>
                <w:bCs/>
              </w:rPr>
              <w:t>168.7</w:t>
            </w:r>
          </w:p>
        </w:tc>
        <w:tc>
          <w:tcPr>
            <w:tcW w:w="1097" w:type="dxa"/>
            <w:tcBorders>
              <w:top w:val="nil"/>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sidRPr="002E2084">
              <w:rPr>
                <w:rFonts w:ascii="Garamond" w:hAnsi="Garamond"/>
                <w:bCs/>
              </w:rPr>
              <w:t>187.</w:t>
            </w:r>
            <w:r>
              <w:rPr>
                <w:rFonts w:ascii="Garamond" w:hAnsi="Garamond"/>
                <w:bCs/>
              </w:rPr>
              <w:t>6</w:t>
            </w:r>
          </w:p>
        </w:tc>
        <w:tc>
          <w:tcPr>
            <w:tcW w:w="1097" w:type="dxa"/>
            <w:tcBorders>
              <w:top w:val="nil"/>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sidRPr="002E2084">
              <w:rPr>
                <w:rFonts w:ascii="Garamond" w:hAnsi="Garamond"/>
                <w:bCs/>
              </w:rPr>
              <w:t>210.</w:t>
            </w:r>
            <w:r>
              <w:rPr>
                <w:rFonts w:ascii="Garamond" w:hAnsi="Garamond"/>
                <w:bCs/>
              </w:rPr>
              <w:t>4</w:t>
            </w:r>
          </w:p>
        </w:tc>
        <w:tc>
          <w:tcPr>
            <w:tcW w:w="1097" w:type="dxa"/>
            <w:tcBorders>
              <w:top w:val="nil"/>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sidRPr="002E2084">
              <w:rPr>
                <w:rFonts w:ascii="Garamond" w:hAnsi="Garamond"/>
                <w:bCs/>
              </w:rPr>
              <w:t>202.</w:t>
            </w:r>
            <w:r>
              <w:rPr>
                <w:rFonts w:ascii="Garamond" w:hAnsi="Garamond"/>
                <w:bCs/>
              </w:rPr>
              <w:t>8</w:t>
            </w:r>
          </w:p>
        </w:tc>
      </w:tr>
      <w:tr w:rsidR="008046F4" w:rsidRPr="002E2084" w:rsidTr="00A30924">
        <w:trPr>
          <w:trHeight w:val="300"/>
        </w:trPr>
        <w:tc>
          <w:tcPr>
            <w:tcW w:w="4320"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rPr>
                <w:rFonts w:ascii="Garamond" w:hAnsi="Garamond"/>
              </w:rPr>
            </w:pPr>
            <w:r w:rsidRPr="005170FE">
              <w:rPr>
                <w:rFonts w:ascii="Garamond" w:hAnsi="Garamond"/>
              </w:rPr>
              <w:t>Public external debt as % of revenue and grants</w:t>
            </w:r>
          </w:p>
        </w:tc>
        <w:tc>
          <w:tcPr>
            <w:tcW w:w="1189" w:type="dxa"/>
            <w:tcBorders>
              <w:top w:val="nil"/>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sidRPr="002E2084">
              <w:rPr>
                <w:rFonts w:ascii="Garamond" w:hAnsi="Garamond"/>
                <w:bCs/>
              </w:rPr>
              <w:t>137.6</w:t>
            </w:r>
          </w:p>
        </w:tc>
        <w:tc>
          <w:tcPr>
            <w:tcW w:w="1097" w:type="dxa"/>
            <w:tcBorders>
              <w:top w:val="nil"/>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sidRPr="002E2084">
              <w:rPr>
                <w:rFonts w:ascii="Garamond" w:hAnsi="Garamond"/>
                <w:bCs/>
              </w:rPr>
              <w:t>152.5</w:t>
            </w:r>
          </w:p>
        </w:tc>
        <w:tc>
          <w:tcPr>
            <w:tcW w:w="1097" w:type="dxa"/>
            <w:tcBorders>
              <w:top w:val="nil"/>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sidRPr="002E2084">
              <w:rPr>
                <w:rFonts w:ascii="Garamond" w:hAnsi="Garamond"/>
                <w:bCs/>
              </w:rPr>
              <w:t>173.5</w:t>
            </w:r>
          </w:p>
        </w:tc>
        <w:tc>
          <w:tcPr>
            <w:tcW w:w="1097" w:type="dxa"/>
            <w:tcBorders>
              <w:top w:val="nil"/>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sidRPr="002E2084">
              <w:rPr>
                <w:rFonts w:ascii="Garamond" w:hAnsi="Garamond"/>
                <w:bCs/>
              </w:rPr>
              <w:t>196.</w:t>
            </w:r>
            <w:r>
              <w:rPr>
                <w:rFonts w:ascii="Garamond" w:hAnsi="Garamond"/>
                <w:bCs/>
              </w:rPr>
              <w:t>7</w:t>
            </w:r>
          </w:p>
        </w:tc>
        <w:tc>
          <w:tcPr>
            <w:tcW w:w="1097" w:type="dxa"/>
            <w:tcBorders>
              <w:top w:val="nil"/>
              <w:left w:val="nil"/>
              <w:bottom w:val="nil"/>
              <w:right w:val="nil"/>
            </w:tcBorders>
            <w:shd w:val="clear" w:color="auto" w:fill="auto"/>
            <w:noWrap/>
            <w:vAlign w:val="bottom"/>
            <w:hideMark/>
          </w:tcPr>
          <w:p w:rsidR="008046F4" w:rsidRPr="002E2084" w:rsidRDefault="008046F4" w:rsidP="00C26A15">
            <w:pPr>
              <w:spacing w:after="0" w:line="240" w:lineRule="auto"/>
              <w:jc w:val="center"/>
              <w:rPr>
                <w:rFonts w:ascii="Garamond" w:hAnsi="Garamond"/>
                <w:bCs/>
              </w:rPr>
            </w:pPr>
            <w:r w:rsidRPr="002E2084">
              <w:rPr>
                <w:rFonts w:ascii="Garamond" w:hAnsi="Garamond"/>
                <w:bCs/>
              </w:rPr>
              <w:t>19</w:t>
            </w:r>
            <w:r>
              <w:rPr>
                <w:rFonts w:ascii="Garamond" w:hAnsi="Garamond"/>
                <w:bCs/>
              </w:rPr>
              <w:t>2</w:t>
            </w:r>
            <w:r w:rsidRPr="002E2084">
              <w:rPr>
                <w:rFonts w:ascii="Garamond" w:hAnsi="Garamond"/>
                <w:bCs/>
              </w:rPr>
              <w:t>.</w:t>
            </w:r>
            <w:r>
              <w:rPr>
                <w:rFonts w:ascii="Garamond" w:hAnsi="Garamond"/>
                <w:bCs/>
              </w:rPr>
              <w:t>0</w:t>
            </w:r>
          </w:p>
        </w:tc>
      </w:tr>
      <w:tr w:rsidR="008046F4" w:rsidRPr="005170FE" w:rsidTr="00A30924">
        <w:trPr>
          <w:trHeight w:val="300"/>
        </w:trPr>
        <w:tc>
          <w:tcPr>
            <w:tcW w:w="4320"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rPr>
                <w:rFonts w:ascii="Garamond" w:hAnsi="Garamond"/>
              </w:rPr>
            </w:pPr>
            <w:r w:rsidRPr="005170FE">
              <w:rPr>
                <w:rFonts w:ascii="Garamond" w:hAnsi="Garamond"/>
              </w:rPr>
              <w:t>Debt service as % of exports</w:t>
            </w:r>
          </w:p>
        </w:tc>
        <w:tc>
          <w:tcPr>
            <w:tcW w:w="1189"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7.0</w:t>
            </w:r>
          </w:p>
        </w:tc>
        <w:tc>
          <w:tcPr>
            <w:tcW w:w="1097"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9.</w:t>
            </w:r>
            <w:r>
              <w:rPr>
                <w:rFonts w:ascii="Garamond" w:hAnsi="Garamond"/>
              </w:rPr>
              <w:t>7</w:t>
            </w:r>
          </w:p>
        </w:tc>
        <w:tc>
          <w:tcPr>
            <w:tcW w:w="1097"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10.</w:t>
            </w:r>
            <w:r>
              <w:rPr>
                <w:rFonts w:ascii="Garamond" w:hAnsi="Garamond"/>
              </w:rPr>
              <w:t>4</w:t>
            </w:r>
          </w:p>
        </w:tc>
        <w:tc>
          <w:tcPr>
            <w:tcW w:w="1097"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16.</w:t>
            </w:r>
            <w:r>
              <w:rPr>
                <w:rFonts w:ascii="Garamond" w:hAnsi="Garamond"/>
              </w:rPr>
              <w:t>5</w:t>
            </w:r>
          </w:p>
        </w:tc>
        <w:tc>
          <w:tcPr>
            <w:tcW w:w="1097"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p>
        </w:tc>
      </w:tr>
      <w:tr w:rsidR="008046F4" w:rsidRPr="005170FE" w:rsidTr="00A30924">
        <w:trPr>
          <w:trHeight w:val="300"/>
        </w:trPr>
        <w:tc>
          <w:tcPr>
            <w:tcW w:w="4320"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rPr>
                <w:rFonts w:ascii="Garamond" w:hAnsi="Garamond"/>
              </w:rPr>
            </w:pPr>
            <w:r w:rsidRPr="005170FE">
              <w:rPr>
                <w:rFonts w:ascii="Garamond" w:hAnsi="Garamond"/>
              </w:rPr>
              <w:t>Debt service as % of GDP</w:t>
            </w:r>
          </w:p>
        </w:tc>
        <w:tc>
          <w:tcPr>
            <w:tcW w:w="1189"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Pr>
                <w:rFonts w:ascii="Garamond" w:hAnsi="Garamond"/>
              </w:rPr>
              <w:t>1</w:t>
            </w:r>
            <w:r w:rsidRPr="005170FE">
              <w:rPr>
                <w:rFonts w:ascii="Garamond" w:hAnsi="Garamond"/>
              </w:rPr>
              <w:t>.</w:t>
            </w:r>
            <w:r>
              <w:rPr>
                <w:rFonts w:ascii="Garamond" w:hAnsi="Garamond"/>
              </w:rPr>
              <w:t>0</w:t>
            </w:r>
          </w:p>
        </w:tc>
        <w:tc>
          <w:tcPr>
            <w:tcW w:w="1097"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1.2</w:t>
            </w:r>
          </w:p>
        </w:tc>
        <w:tc>
          <w:tcPr>
            <w:tcW w:w="1097"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1.2</w:t>
            </w:r>
          </w:p>
        </w:tc>
        <w:tc>
          <w:tcPr>
            <w:tcW w:w="1097"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1.6</w:t>
            </w:r>
          </w:p>
        </w:tc>
        <w:tc>
          <w:tcPr>
            <w:tcW w:w="1097" w:type="dxa"/>
            <w:tcBorders>
              <w:top w:val="nil"/>
              <w:left w:val="nil"/>
              <w:bottom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1.4</w:t>
            </w:r>
          </w:p>
        </w:tc>
      </w:tr>
      <w:tr w:rsidR="008046F4" w:rsidRPr="005170FE" w:rsidTr="00A30924">
        <w:trPr>
          <w:trHeight w:val="300"/>
        </w:trPr>
        <w:tc>
          <w:tcPr>
            <w:tcW w:w="4320" w:type="dxa"/>
            <w:tcBorders>
              <w:top w:val="nil"/>
              <w:left w:val="nil"/>
              <w:right w:val="nil"/>
            </w:tcBorders>
            <w:shd w:val="clear" w:color="auto" w:fill="auto"/>
            <w:noWrap/>
            <w:vAlign w:val="bottom"/>
            <w:hideMark/>
          </w:tcPr>
          <w:p w:rsidR="008046F4" w:rsidRPr="005170FE" w:rsidRDefault="008046F4" w:rsidP="00C26A15">
            <w:pPr>
              <w:spacing w:after="0" w:line="240" w:lineRule="auto"/>
              <w:rPr>
                <w:rFonts w:ascii="Garamond" w:hAnsi="Garamond"/>
              </w:rPr>
            </w:pPr>
            <w:r w:rsidRPr="005170FE">
              <w:rPr>
                <w:rFonts w:ascii="Garamond" w:hAnsi="Garamond"/>
              </w:rPr>
              <w:t>Debt service as % of revenue</w:t>
            </w:r>
          </w:p>
        </w:tc>
        <w:tc>
          <w:tcPr>
            <w:tcW w:w="1189" w:type="dxa"/>
            <w:tcBorders>
              <w:top w:val="nil"/>
              <w:left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Pr>
                <w:rFonts w:ascii="Garamond" w:hAnsi="Garamond"/>
              </w:rPr>
              <w:t>7.0</w:t>
            </w:r>
          </w:p>
        </w:tc>
        <w:tc>
          <w:tcPr>
            <w:tcW w:w="1097" w:type="dxa"/>
            <w:tcBorders>
              <w:top w:val="nil"/>
              <w:left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8.4</w:t>
            </w:r>
          </w:p>
        </w:tc>
        <w:tc>
          <w:tcPr>
            <w:tcW w:w="1097" w:type="dxa"/>
            <w:tcBorders>
              <w:top w:val="nil"/>
              <w:left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8.</w:t>
            </w:r>
            <w:r>
              <w:rPr>
                <w:rFonts w:ascii="Garamond" w:hAnsi="Garamond"/>
              </w:rPr>
              <w:t>8</w:t>
            </w:r>
          </w:p>
        </w:tc>
        <w:tc>
          <w:tcPr>
            <w:tcW w:w="1097" w:type="dxa"/>
            <w:tcBorders>
              <w:top w:val="nil"/>
              <w:left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10.7</w:t>
            </w:r>
          </w:p>
        </w:tc>
        <w:tc>
          <w:tcPr>
            <w:tcW w:w="1097" w:type="dxa"/>
            <w:tcBorders>
              <w:top w:val="nil"/>
              <w:left w:val="nil"/>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9.0</w:t>
            </w:r>
          </w:p>
        </w:tc>
      </w:tr>
      <w:tr w:rsidR="008046F4" w:rsidRPr="005170FE" w:rsidTr="00A30924">
        <w:trPr>
          <w:trHeight w:val="300"/>
        </w:trPr>
        <w:tc>
          <w:tcPr>
            <w:tcW w:w="4320" w:type="dxa"/>
            <w:tcBorders>
              <w:top w:val="nil"/>
              <w:left w:val="nil"/>
              <w:bottom w:val="single" w:sz="4" w:space="0" w:color="auto"/>
              <w:right w:val="nil"/>
            </w:tcBorders>
            <w:shd w:val="clear" w:color="auto" w:fill="auto"/>
            <w:noWrap/>
            <w:vAlign w:val="bottom"/>
            <w:hideMark/>
          </w:tcPr>
          <w:p w:rsidR="008046F4" w:rsidRPr="005170FE" w:rsidRDefault="008046F4" w:rsidP="00C26A15">
            <w:pPr>
              <w:spacing w:after="0" w:line="240" w:lineRule="auto"/>
              <w:rPr>
                <w:rFonts w:ascii="Garamond" w:hAnsi="Garamond"/>
              </w:rPr>
            </w:pPr>
            <w:r w:rsidRPr="005170FE">
              <w:rPr>
                <w:rFonts w:ascii="Garamond" w:hAnsi="Garamond"/>
              </w:rPr>
              <w:t>Debt service as % of revenue and grants</w:t>
            </w:r>
          </w:p>
        </w:tc>
        <w:tc>
          <w:tcPr>
            <w:tcW w:w="1189" w:type="dxa"/>
            <w:tcBorders>
              <w:top w:val="nil"/>
              <w:left w:val="nil"/>
              <w:bottom w:val="single" w:sz="4" w:space="0" w:color="auto"/>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6.</w:t>
            </w:r>
            <w:r>
              <w:rPr>
                <w:rFonts w:ascii="Garamond" w:hAnsi="Garamond"/>
              </w:rPr>
              <w:t>3</w:t>
            </w:r>
          </w:p>
        </w:tc>
        <w:tc>
          <w:tcPr>
            <w:tcW w:w="1097" w:type="dxa"/>
            <w:tcBorders>
              <w:top w:val="nil"/>
              <w:left w:val="nil"/>
              <w:bottom w:val="single" w:sz="4" w:space="0" w:color="auto"/>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7.6</w:t>
            </w:r>
          </w:p>
        </w:tc>
        <w:tc>
          <w:tcPr>
            <w:tcW w:w="1097" w:type="dxa"/>
            <w:tcBorders>
              <w:top w:val="nil"/>
              <w:left w:val="nil"/>
              <w:bottom w:val="single" w:sz="4" w:space="0" w:color="auto"/>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8.1</w:t>
            </w:r>
          </w:p>
        </w:tc>
        <w:tc>
          <w:tcPr>
            <w:tcW w:w="1097" w:type="dxa"/>
            <w:tcBorders>
              <w:top w:val="nil"/>
              <w:left w:val="nil"/>
              <w:bottom w:val="single" w:sz="4" w:space="0" w:color="auto"/>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10.0</w:t>
            </w:r>
          </w:p>
        </w:tc>
        <w:tc>
          <w:tcPr>
            <w:tcW w:w="1097" w:type="dxa"/>
            <w:tcBorders>
              <w:top w:val="nil"/>
              <w:left w:val="nil"/>
              <w:bottom w:val="single" w:sz="4" w:space="0" w:color="auto"/>
              <w:right w:val="nil"/>
            </w:tcBorders>
            <w:shd w:val="clear" w:color="auto" w:fill="auto"/>
            <w:noWrap/>
            <w:vAlign w:val="bottom"/>
            <w:hideMark/>
          </w:tcPr>
          <w:p w:rsidR="008046F4" w:rsidRPr="005170FE" w:rsidRDefault="008046F4" w:rsidP="00C26A15">
            <w:pPr>
              <w:spacing w:after="0" w:line="240" w:lineRule="auto"/>
              <w:jc w:val="center"/>
              <w:rPr>
                <w:rFonts w:ascii="Garamond" w:hAnsi="Garamond"/>
              </w:rPr>
            </w:pPr>
            <w:r w:rsidRPr="005170FE">
              <w:rPr>
                <w:rFonts w:ascii="Garamond" w:hAnsi="Garamond"/>
              </w:rPr>
              <w:t>8.5</w:t>
            </w:r>
          </w:p>
        </w:tc>
      </w:tr>
    </w:tbl>
    <w:p w:rsidR="008046F4" w:rsidRDefault="008046F4" w:rsidP="00C26A15">
      <w:pPr>
        <w:autoSpaceDE w:val="0"/>
        <w:autoSpaceDN w:val="0"/>
        <w:adjustRightInd w:val="0"/>
        <w:spacing w:after="0" w:line="240" w:lineRule="auto"/>
        <w:jc w:val="both"/>
        <w:rPr>
          <w:rFonts w:ascii="Garamond" w:hAnsi="Garamond"/>
        </w:rPr>
      </w:pPr>
      <w:r w:rsidRPr="00834FF9">
        <w:rPr>
          <w:rFonts w:ascii="Garamond" w:hAnsi="Garamond"/>
        </w:rPr>
        <w:t>Source: Based on MoFEC data</w:t>
      </w:r>
    </w:p>
    <w:p w:rsidR="00193DFE" w:rsidRDefault="008046F4" w:rsidP="00C26A15">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The International Monetary Fund (IMF) ranks countries as high, medium and low risk based on their external debt burden. According to the </w:t>
      </w:r>
      <w:r w:rsidRPr="005F66C5">
        <w:rPr>
          <w:rFonts w:ascii="Garamond" w:hAnsi="Garamond"/>
          <w:sz w:val="24"/>
          <w:szCs w:val="24"/>
        </w:rPr>
        <w:t>2015 C</w:t>
      </w:r>
      <w:r>
        <w:rPr>
          <w:rFonts w:ascii="Garamond" w:hAnsi="Garamond"/>
          <w:sz w:val="24"/>
          <w:szCs w:val="24"/>
        </w:rPr>
        <w:t xml:space="preserve">ountry Policy and Institutional </w:t>
      </w:r>
      <w:r w:rsidRPr="005F66C5">
        <w:rPr>
          <w:rFonts w:ascii="Garamond" w:hAnsi="Garamond"/>
          <w:sz w:val="24"/>
          <w:szCs w:val="24"/>
        </w:rPr>
        <w:t>Assessment (CPIA) score (3.4), Ethiopia is classified as a medium performer</w:t>
      </w:r>
      <w:r>
        <w:rPr>
          <w:rFonts w:ascii="Garamond" w:hAnsi="Garamond"/>
          <w:sz w:val="24"/>
          <w:szCs w:val="24"/>
        </w:rPr>
        <w:t xml:space="preserve"> (IMF, 2016)</w:t>
      </w:r>
      <w:r w:rsidRPr="005F66C5">
        <w:rPr>
          <w:rFonts w:ascii="Garamond" w:hAnsi="Garamond"/>
          <w:sz w:val="24"/>
          <w:szCs w:val="24"/>
        </w:rPr>
        <w:t xml:space="preserve">. </w:t>
      </w:r>
      <w:r>
        <w:rPr>
          <w:rFonts w:ascii="Garamond" w:hAnsi="Garamond"/>
          <w:sz w:val="24"/>
          <w:szCs w:val="24"/>
        </w:rPr>
        <w:t xml:space="preserve">So, the thresholds for debt burden for the medium performer </w:t>
      </w:r>
      <w:r w:rsidRPr="005F66C5">
        <w:rPr>
          <w:rFonts w:ascii="Garamond" w:hAnsi="Garamond"/>
          <w:sz w:val="24"/>
          <w:szCs w:val="24"/>
        </w:rPr>
        <w:t xml:space="preserve">are 150, 40, and 250 percent for the </w:t>
      </w:r>
      <w:r>
        <w:rPr>
          <w:rFonts w:ascii="Garamond" w:hAnsi="Garamond"/>
          <w:sz w:val="24"/>
          <w:szCs w:val="24"/>
        </w:rPr>
        <w:t>present value (</w:t>
      </w:r>
      <w:r w:rsidRPr="005F66C5">
        <w:rPr>
          <w:rFonts w:ascii="Garamond" w:hAnsi="Garamond"/>
          <w:sz w:val="24"/>
          <w:szCs w:val="24"/>
        </w:rPr>
        <w:t>PV</w:t>
      </w:r>
      <w:r>
        <w:rPr>
          <w:rFonts w:ascii="Garamond" w:hAnsi="Garamond"/>
          <w:sz w:val="24"/>
          <w:szCs w:val="24"/>
        </w:rPr>
        <w:t>)</w:t>
      </w:r>
      <w:r w:rsidRPr="005F66C5">
        <w:rPr>
          <w:rFonts w:ascii="Garamond" w:hAnsi="Garamond"/>
          <w:sz w:val="24"/>
          <w:szCs w:val="24"/>
        </w:rPr>
        <w:t xml:space="preserve"> of debt to exports, GDP, and revenue</w:t>
      </w:r>
      <w:r>
        <w:rPr>
          <w:rFonts w:ascii="Garamond" w:hAnsi="Garamond"/>
          <w:sz w:val="24"/>
          <w:szCs w:val="24"/>
        </w:rPr>
        <w:t xml:space="preserve"> ratios</w:t>
      </w:r>
      <w:r w:rsidRPr="005F66C5">
        <w:rPr>
          <w:rFonts w:ascii="Garamond" w:hAnsi="Garamond"/>
          <w:sz w:val="24"/>
          <w:szCs w:val="24"/>
        </w:rPr>
        <w:t>, respectivel</w:t>
      </w:r>
      <w:r>
        <w:rPr>
          <w:rFonts w:ascii="Garamond" w:hAnsi="Garamond"/>
          <w:sz w:val="24"/>
          <w:szCs w:val="24"/>
        </w:rPr>
        <w:t xml:space="preserve">y. Both </w:t>
      </w:r>
      <w:r w:rsidR="003D4642">
        <w:rPr>
          <w:rFonts w:ascii="Garamond" w:hAnsi="Garamond"/>
          <w:sz w:val="24"/>
          <w:szCs w:val="24"/>
        </w:rPr>
        <w:t>the PV of</w:t>
      </w:r>
      <w:r>
        <w:rPr>
          <w:rFonts w:ascii="Garamond" w:hAnsi="Garamond"/>
          <w:sz w:val="24"/>
          <w:szCs w:val="24"/>
        </w:rPr>
        <w:t xml:space="preserve"> public external debt to GDP </w:t>
      </w:r>
      <w:r>
        <w:rPr>
          <w:rFonts w:ascii="Garamond" w:hAnsi="Garamond"/>
          <w:sz w:val="24"/>
          <w:szCs w:val="24"/>
        </w:rPr>
        <w:lastRenderedPageBreak/>
        <w:t>and revenue ratio are projected to within the threshold. Only the PV of debt to exports is projected to be out of the threshold during the GTP-II period</w:t>
      </w:r>
      <w:r w:rsidR="00534067">
        <w:rPr>
          <w:rFonts w:ascii="Garamond" w:hAnsi="Garamond"/>
          <w:sz w:val="24"/>
          <w:szCs w:val="24"/>
        </w:rPr>
        <w:t>. The disappointing performance of the export sector has become a real concern and affect</w:t>
      </w:r>
      <w:r w:rsidR="001E570B">
        <w:rPr>
          <w:rFonts w:ascii="Garamond" w:hAnsi="Garamond"/>
          <w:sz w:val="24"/>
          <w:szCs w:val="24"/>
        </w:rPr>
        <w:t>s</w:t>
      </w:r>
      <w:r w:rsidR="00534067">
        <w:rPr>
          <w:rFonts w:ascii="Garamond" w:hAnsi="Garamond"/>
          <w:sz w:val="24"/>
          <w:szCs w:val="24"/>
        </w:rPr>
        <w:t xml:space="preserve"> the borrowing capacity of the country. </w:t>
      </w:r>
      <w:r w:rsidR="00193DFE">
        <w:rPr>
          <w:rFonts w:ascii="Garamond" w:hAnsi="Garamond"/>
          <w:sz w:val="24"/>
          <w:szCs w:val="24"/>
        </w:rPr>
        <w:t xml:space="preserve">The ongoing investments in transportation, power and other infrastructure are expected to enhance export competitiveness of the country which would help boost its capacity to repay its debt. </w:t>
      </w:r>
      <w:r w:rsidR="003B3928" w:rsidRPr="006115AD">
        <w:rPr>
          <w:rFonts w:ascii="Garamond" w:hAnsi="Garamond"/>
          <w:sz w:val="24"/>
          <w:szCs w:val="24"/>
        </w:rPr>
        <w:t>The government remains committed to sustain</w:t>
      </w:r>
      <w:r w:rsidR="00193DFE" w:rsidRPr="006115AD">
        <w:rPr>
          <w:rFonts w:ascii="Garamond" w:hAnsi="Garamond"/>
          <w:sz w:val="24"/>
          <w:szCs w:val="24"/>
        </w:rPr>
        <w:t xml:space="preserve"> </w:t>
      </w:r>
      <w:r w:rsidR="00193DFE">
        <w:rPr>
          <w:rFonts w:ascii="Garamond" w:hAnsi="Garamond"/>
          <w:sz w:val="24"/>
          <w:szCs w:val="24"/>
        </w:rPr>
        <w:t xml:space="preserve">a </w:t>
      </w:r>
      <w:r w:rsidR="00193DFE" w:rsidRPr="006115AD">
        <w:rPr>
          <w:rFonts w:ascii="Garamond" w:hAnsi="Garamond"/>
          <w:sz w:val="24"/>
          <w:szCs w:val="24"/>
        </w:rPr>
        <w:t xml:space="preserve">healthy external debt </w:t>
      </w:r>
      <w:r w:rsidR="00193DFE">
        <w:rPr>
          <w:rFonts w:ascii="Garamond" w:hAnsi="Garamond"/>
          <w:sz w:val="24"/>
          <w:szCs w:val="24"/>
        </w:rPr>
        <w:t xml:space="preserve">through </w:t>
      </w:r>
      <w:r w:rsidR="00193DFE" w:rsidRPr="006115AD">
        <w:rPr>
          <w:rFonts w:ascii="Garamond" w:hAnsi="Garamond"/>
          <w:sz w:val="24"/>
          <w:szCs w:val="24"/>
        </w:rPr>
        <w:t>allocat</w:t>
      </w:r>
      <w:r w:rsidR="00193DFE">
        <w:rPr>
          <w:rFonts w:ascii="Garamond" w:hAnsi="Garamond"/>
          <w:sz w:val="24"/>
          <w:szCs w:val="24"/>
        </w:rPr>
        <w:t>ing</w:t>
      </w:r>
      <w:r w:rsidR="00193DFE" w:rsidRPr="006115AD">
        <w:rPr>
          <w:rFonts w:ascii="Garamond" w:hAnsi="Garamond"/>
          <w:sz w:val="24"/>
          <w:szCs w:val="24"/>
        </w:rPr>
        <w:t xml:space="preserve"> the borrowed money </w:t>
      </w:r>
      <w:r w:rsidR="00193DFE">
        <w:rPr>
          <w:rFonts w:ascii="Garamond" w:hAnsi="Garamond"/>
          <w:sz w:val="24"/>
          <w:szCs w:val="24"/>
        </w:rPr>
        <w:t xml:space="preserve">to </w:t>
      </w:r>
      <w:r w:rsidR="00193DFE" w:rsidRPr="006115AD">
        <w:rPr>
          <w:rFonts w:ascii="Garamond" w:hAnsi="Garamond"/>
          <w:sz w:val="24"/>
          <w:szCs w:val="24"/>
        </w:rPr>
        <w:t xml:space="preserve">infrastructural and energy projects that enhance the productive capacity of the economy, promote export and industrial development. </w:t>
      </w:r>
      <w:r w:rsidR="00BD6122">
        <w:rPr>
          <w:rFonts w:ascii="Garamond" w:hAnsi="Garamond"/>
          <w:sz w:val="24"/>
          <w:szCs w:val="24"/>
        </w:rPr>
        <w:t>Consultations with stakeholders indicate that there is a need to e</w:t>
      </w:r>
      <w:r w:rsidR="00193DFE" w:rsidRPr="006115AD">
        <w:rPr>
          <w:rFonts w:ascii="Garamond" w:hAnsi="Garamond"/>
          <w:sz w:val="24"/>
          <w:szCs w:val="24"/>
        </w:rPr>
        <w:t xml:space="preserve">nsure effective utilization of </w:t>
      </w:r>
      <w:r w:rsidR="00193DFE">
        <w:rPr>
          <w:rFonts w:ascii="Garamond" w:hAnsi="Garamond"/>
          <w:sz w:val="24"/>
          <w:szCs w:val="24"/>
        </w:rPr>
        <w:t>e</w:t>
      </w:r>
      <w:r w:rsidR="00BD6122">
        <w:rPr>
          <w:rFonts w:ascii="Garamond" w:hAnsi="Garamond"/>
          <w:sz w:val="24"/>
          <w:szCs w:val="24"/>
        </w:rPr>
        <w:t xml:space="preserve">xternal resources and </w:t>
      </w:r>
      <w:r w:rsidR="00193DFE" w:rsidRPr="006115AD">
        <w:rPr>
          <w:rFonts w:ascii="Garamond" w:hAnsi="Garamond"/>
          <w:sz w:val="24"/>
          <w:szCs w:val="24"/>
        </w:rPr>
        <w:t>improv</w:t>
      </w:r>
      <w:r w:rsidR="00BD6122">
        <w:rPr>
          <w:rFonts w:ascii="Garamond" w:hAnsi="Garamond"/>
          <w:sz w:val="24"/>
          <w:szCs w:val="24"/>
        </w:rPr>
        <w:t>e</w:t>
      </w:r>
      <w:r w:rsidR="00193DFE" w:rsidRPr="006115AD">
        <w:rPr>
          <w:rFonts w:ascii="Garamond" w:hAnsi="Garamond"/>
          <w:sz w:val="24"/>
          <w:szCs w:val="24"/>
        </w:rPr>
        <w:t xml:space="preserve"> project planning and management capacity to execute projects on time and </w:t>
      </w:r>
      <w:r w:rsidR="00BD6122">
        <w:rPr>
          <w:rFonts w:ascii="Garamond" w:hAnsi="Garamond"/>
          <w:sz w:val="24"/>
          <w:szCs w:val="24"/>
        </w:rPr>
        <w:t xml:space="preserve">with the required </w:t>
      </w:r>
      <w:r w:rsidR="00193DFE" w:rsidRPr="006115AD">
        <w:rPr>
          <w:rFonts w:ascii="Garamond" w:hAnsi="Garamond"/>
          <w:sz w:val="24"/>
          <w:szCs w:val="24"/>
        </w:rPr>
        <w:t>quality.</w:t>
      </w:r>
    </w:p>
    <w:p w:rsidR="00BD6122" w:rsidRPr="00075FD8" w:rsidRDefault="00BD6122" w:rsidP="00BD6122">
      <w:pPr>
        <w:pStyle w:val="Caption"/>
        <w:spacing w:after="0"/>
        <w:rPr>
          <w:rFonts w:ascii="Garamond" w:hAnsi="Garamond"/>
          <w:sz w:val="22"/>
          <w:szCs w:val="22"/>
        </w:rPr>
      </w:pPr>
      <w:bookmarkStart w:id="82" w:name="_Toc486585974"/>
      <w:r w:rsidRPr="00075FD8">
        <w:rPr>
          <w:rFonts w:ascii="Garamond" w:hAnsi="Garamond"/>
          <w:sz w:val="22"/>
          <w:szCs w:val="22"/>
        </w:rPr>
        <w:t xml:space="preserve">Table </w:t>
      </w:r>
      <w:r w:rsidR="00BF3BBC" w:rsidRPr="00075FD8">
        <w:rPr>
          <w:rFonts w:ascii="Garamond" w:hAnsi="Garamond"/>
          <w:sz w:val="22"/>
          <w:szCs w:val="22"/>
        </w:rPr>
        <w:fldChar w:fldCharType="begin"/>
      </w:r>
      <w:r w:rsidRPr="00075FD8">
        <w:rPr>
          <w:rFonts w:ascii="Garamond" w:hAnsi="Garamond"/>
          <w:sz w:val="22"/>
          <w:szCs w:val="22"/>
        </w:rPr>
        <w:instrText xml:space="preserve"> SEQ Table \* ARABIC </w:instrText>
      </w:r>
      <w:r w:rsidR="00BF3BBC" w:rsidRPr="00075FD8">
        <w:rPr>
          <w:rFonts w:ascii="Garamond" w:hAnsi="Garamond"/>
          <w:sz w:val="22"/>
          <w:szCs w:val="22"/>
        </w:rPr>
        <w:fldChar w:fldCharType="separate"/>
      </w:r>
      <w:r w:rsidR="00051FC4">
        <w:rPr>
          <w:rFonts w:ascii="Garamond" w:hAnsi="Garamond"/>
          <w:noProof/>
          <w:sz w:val="22"/>
          <w:szCs w:val="22"/>
        </w:rPr>
        <w:t>4</w:t>
      </w:r>
      <w:r w:rsidR="00BF3BBC" w:rsidRPr="00075FD8">
        <w:rPr>
          <w:rFonts w:ascii="Garamond" w:hAnsi="Garamond"/>
          <w:sz w:val="22"/>
          <w:szCs w:val="22"/>
        </w:rPr>
        <w:fldChar w:fldCharType="end"/>
      </w:r>
      <w:r w:rsidRPr="00075FD8">
        <w:rPr>
          <w:rFonts w:ascii="Garamond" w:hAnsi="Garamond"/>
          <w:sz w:val="22"/>
          <w:szCs w:val="22"/>
        </w:rPr>
        <w:t>: External public debt sustainability indicators outlook</w:t>
      </w:r>
      <w:bookmarkEnd w:id="82"/>
      <w:r w:rsidRPr="00075FD8">
        <w:rPr>
          <w:rFonts w:ascii="Garamond" w:hAnsi="Garamond"/>
          <w:sz w:val="22"/>
          <w:szCs w:val="22"/>
        </w:rPr>
        <w:t xml:space="preserve"> </w:t>
      </w:r>
    </w:p>
    <w:tbl>
      <w:tblPr>
        <w:tblW w:w="9360" w:type="dxa"/>
        <w:tblLook w:val="04A0" w:firstRow="1" w:lastRow="0" w:firstColumn="1" w:lastColumn="0" w:noHBand="0" w:noVBand="1"/>
      </w:tblPr>
      <w:tblGrid>
        <w:gridCol w:w="2990"/>
        <w:gridCol w:w="1354"/>
        <w:gridCol w:w="1254"/>
        <w:gridCol w:w="1254"/>
        <w:gridCol w:w="1254"/>
        <w:gridCol w:w="1254"/>
      </w:tblGrid>
      <w:tr w:rsidR="00BD6122" w:rsidRPr="005B09A4" w:rsidTr="00F925B3">
        <w:trPr>
          <w:trHeight w:val="276"/>
        </w:trPr>
        <w:tc>
          <w:tcPr>
            <w:tcW w:w="2990" w:type="dxa"/>
            <w:tcBorders>
              <w:top w:val="single" w:sz="4" w:space="0" w:color="auto"/>
              <w:left w:val="nil"/>
              <w:bottom w:val="single" w:sz="4" w:space="0" w:color="auto"/>
              <w:right w:val="nil"/>
            </w:tcBorders>
            <w:shd w:val="clear" w:color="auto" w:fill="auto"/>
            <w:noWrap/>
            <w:vAlign w:val="bottom"/>
            <w:hideMark/>
          </w:tcPr>
          <w:p w:rsidR="00BD6122" w:rsidRPr="005B09A4" w:rsidRDefault="00BD6122" w:rsidP="00F925B3">
            <w:pPr>
              <w:spacing w:after="0" w:line="240" w:lineRule="auto"/>
              <w:rPr>
                <w:rFonts w:ascii="Garamond" w:hAnsi="Garamond"/>
                <w:sz w:val="24"/>
                <w:szCs w:val="24"/>
              </w:rPr>
            </w:pPr>
          </w:p>
        </w:tc>
        <w:tc>
          <w:tcPr>
            <w:tcW w:w="1354" w:type="dxa"/>
            <w:tcBorders>
              <w:top w:val="single" w:sz="4" w:space="0" w:color="auto"/>
              <w:left w:val="nil"/>
              <w:bottom w:val="single" w:sz="4" w:space="0" w:color="auto"/>
              <w:right w:val="nil"/>
            </w:tcBorders>
            <w:shd w:val="clear" w:color="auto" w:fill="auto"/>
            <w:noWrap/>
            <w:vAlign w:val="bottom"/>
            <w:hideMark/>
          </w:tcPr>
          <w:p w:rsidR="00BD6122" w:rsidRPr="005B09A4" w:rsidRDefault="00BD6122" w:rsidP="00F925B3">
            <w:pPr>
              <w:spacing w:after="0" w:line="240" w:lineRule="auto"/>
              <w:rPr>
                <w:rFonts w:ascii="Garamond" w:hAnsi="Garamond"/>
              </w:rPr>
            </w:pPr>
            <w:r w:rsidRPr="005B09A4">
              <w:rPr>
                <w:rFonts w:ascii="Garamond" w:hAnsi="Garamond"/>
              </w:rPr>
              <w:t xml:space="preserve">Threshold </w:t>
            </w:r>
          </w:p>
        </w:tc>
        <w:tc>
          <w:tcPr>
            <w:tcW w:w="1254" w:type="dxa"/>
            <w:tcBorders>
              <w:top w:val="single" w:sz="4" w:space="0" w:color="auto"/>
              <w:left w:val="nil"/>
              <w:bottom w:val="single" w:sz="4" w:space="0" w:color="auto"/>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2016</w:t>
            </w:r>
          </w:p>
        </w:tc>
        <w:tc>
          <w:tcPr>
            <w:tcW w:w="1254" w:type="dxa"/>
            <w:tcBorders>
              <w:top w:val="single" w:sz="4" w:space="0" w:color="auto"/>
              <w:left w:val="nil"/>
              <w:bottom w:val="single" w:sz="4" w:space="0" w:color="auto"/>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2017</w:t>
            </w:r>
          </w:p>
        </w:tc>
        <w:tc>
          <w:tcPr>
            <w:tcW w:w="1254" w:type="dxa"/>
            <w:tcBorders>
              <w:top w:val="single" w:sz="4" w:space="0" w:color="auto"/>
              <w:left w:val="nil"/>
              <w:bottom w:val="single" w:sz="4" w:space="0" w:color="auto"/>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2018</w:t>
            </w:r>
          </w:p>
        </w:tc>
        <w:tc>
          <w:tcPr>
            <w:tcW w:w="1254" w:type="dxa"/>
            <w:tcBorders>
              <w:top w:val="single" w:sz="4" w:space="0" w:color="auto"/>
              <w:left w:val="nil"/>
              <w:bottom w:val="single" w:sz="4" w:space="0" w:color="auto"/>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2019</w:t>
            </w:r>
          </w:p>
        </w:tc>
      </w:tr>
      <w:tr w:rsidR="00BD6122" w:rsidRPr="005B09A4" w:rsidTr="00F925B3">
        <w:trPr>
          <w:trHeight w:val="276"/>
        </w:trPr>
        <w:tc>
          <w:tcPr>
            <w:tcW w:w="2990" w:type="dxa"/>
            <w:tcBorders>
              <w:top w:val="single" w:sz="4" w:space="0" w:color="auto"/>
              <w:left w:val="nil"/>
              <w:bottom w:val="nil"/>
              <w:right w:val="nil"/>
            </w:tcBorders>
            <w:shd w:val="clear" w:color="auto" w:fill="auto"/>
            <w:noWrap/>
            <w:vAlign w:val="bottom"/>
            <w:hideMark/>
          </w:tcPr>
          <w:p w:rsidR="00BD6122" w:rsidRPr="005B09A4" w:rsidRDefault="00BD6122" w:rsidP="00F925B3">
            <w:pPr>
              <w:spacing w:after="0" w:line="240" w:lineRule="auto"/>
              <w:rPr>
                <w:rFonts w:ascii="Garamond" w:hAnsi="Garamond"/>
              </w:rPr>
            </w:pPr>
            <w:r w:rsidRPr="005B09A4">
              <w:rPr>
                <w:rFonts w:ascii="Garamond" w:hAnsi="Garamond"/>
              </w:rPr>
              <w:t>PV of Debt to Exports Ratio</w:t>
            </w:r>
          </w:p>
        </w:tc>
        <w:tc>
          <w:tcPr>
            <w:tcW w:w="1354" w:type="dxa"/>
            <w:tcBorders>
              <w:top w:val="single" w:sz="4" w:space="0" w:color="auto"/>
              <w:left w:val="nil"/>
              <w:bottom w:val="nil"/>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150</w:t>
            </w:r>
          </w:p>
        </w:tc>
        <w:tc>
          <w:tcPr>
            <w:tcW w:w="1254" w:type="dxa"/>
            <w:tcBorders>
              <w:top w:val="single" w:sz="4" w:space="0" w:color="auto"/>
              <w:left w:val="nil"/>
              <w:bottom w:val="nil"/>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255.6</w:t>
            </w:r>
          </w:p>
        </w:tc>
        <w:tc>
          <w:tcPr>
            <w:tcW w:w="1254" w:type="dxa"/>
            <w:tcBorders>
              <w:top w:val="single" w:sz="4" w:space="0" w:color="auto"/>
              <w:left w:val="nil"/>
              <w:bottom w:val="nil"/>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250.9</w:t>
            </w:r>
          </w:p>
        </w:tc>
        <w:tc>
          <w:tcPr>
            <w:tcW w:w="1254" w:type="dxa"/>
            <w:tcBorders>
              <w:top w:val="single" w:sz="4" w:space="0" w:color="auto"/>
              <w:left w:val="nil"/>
              <w:bottom w:val="nil"/>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243.9</w:t>
            </w:r>
          </w:p>
        </w:tc>
        <w:tc>
          <w:tcPr>
            <w:tcW w:w="1254" w:type="dxa"/>
            <w:tcBorders>
              <w:top w:val="single" w:sz="4" w:space="0" w:color="auto"/>
              <w:left w:val="nil"/>
              <w:bottom w:val="nil"/>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226</w:t>
            </w:r>
            <w:r>
              <w:rPr>
                <w:rFonts w:ascii="Garamond" w:hAnsi="Garamond"/>
              </w:rPr>
              <w:t>.0</w:t>
            </w:r>
          </w:p>
        </w:tc>
      </w:tr>
      <w:tr w:rsidR="00BD6122" w:rsidRPr="005B09A4" w:rsidTr="00F925B3">
        <w:trPr>
          <w:trHeight w:val="276"/>
        </w:trPr>
        <w:tc>
          <w:tcPr>
            <w:tcW w:w="2990" w:type="dxa"/>
            <w:tcBorders>
              <w:top w:val="nil"/>
              <w:left w:val="nil"/>
              <w:right w:val="nil"/>
            </w:tcBorders>
            <w:shd w:val="clear" w:color="auto" w:fill="auto"/>
            <w:noWrap/>
            <w:vAlign w:val="bottom"/>
            <w:hideMark/>
          </w:tcPr>
          <w:p w:rsidR="00BD6122" w:rsidRPr="005B09A4" w:rsidRDefault="00BD6122" w:rsidP="00F925B3">
            <w:pPr>
              <w:spacing w:after="0" w:line="240" w:lineRule="auto"/>
              <w:rPr>
                <w:rFonts w:ascii="Garamond" w:hAnsi="Garamond"/>
              </w:rPr>
            </w:pPr>
            <w:r w:rsidRPr="005B09A4">
              <w:rPr>
                <w:rFonts w:ascii="Garamond" w:hAnsi="Garamond"/>
              </w:rPr>
              <w:t>PV of Debt to GDP Ratio</w:t>
            </w:r>
          </w:p>
        </w:tc>
        <w:tc>
          <w:tcPr>
            <w:tcW w:w="1354" w:type="dxa"/>
            <w:tcBorders>
              <w:top w:val="nil"/>
              <w:left w:val="nil"/>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40</w:t>
            </w:r>
          </w:p>
        </w:tc>
        <w:tc>
          <w:tcPr>
            <w:tcW w:w="1254" w:type="dxa"/>
            <w:tcBorders>
              <w:top w:val="nil"/>
              <w:left w:val="nil"/>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21.9</w:t>
            </w:r>
          </w:p>
        </w:tc>
        <w:tc>
          <w:tcPr>
            <w:tcW w:w="1254" w:type="dxa"/>
            <w:tcBorders>
              <w:top w:val="nil"/>
              <w:left w:val="nil"/>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22.4</w:t>
            </w:r>
          </w:p>
        </w:tc>
        <w:tc>
          <w:tcPr>
            <w:tcW w:w="1254" w:type="dxa"/>
            <w:tcBorders>
              <w:top w:val="nil"/>
              <w:left w:val="nil"/>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22.3</w:t>
            </w:r>
          </w:p>
        </w:tc>
        <w:tc>
          <w:tcPr>
            <w:tcW w:w="1254" w:type="dxa"/>
            <w:tcBorders>
              <w:top w:val="nil"/>
              <w:left w:val="nil"/>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21.3</w:t>
            </w:r>
          </w:p>
        </w:tc>
      </w:tr>
      <w:tr w:rsidR="00BD6122" w:rsidRPr="005B09A4" w:rsidTr="00F925B3">
        <w:trPr>
          <w:trHeight w:val="276"/>
        </w:trPr>
        <w:tc>
          <w:tcPr>
            <w:tcW w:w="2990" w:type="dxa"/>
            <w:tcBorders>
              <w:top w:val="nil"/>
              <w:left w:val="nil"/>
              <w:bottom w:val="single" w:sz="4" w:space="0" w:color="auto"/>
              <w:right w:val="nil"/>
            </w:tcBorders>
            <w:shd w:val="clear" w:color="auto" w:fill="auto"/>
            <w:noWrap/>
            <w:vAlign w:val="bottom"/>
            <w:hideMark/>
          </w:tcPr>
          <w:p w:rsidR="00BD6122" w:rsidRPr="005B09A4" w:rsidRDefault="00BD6122" w:rsidP="00F925B3">
            <w:pPr>
              <w:spacing w:after="0" w:line="240" w:lineRule="auto"/>
              <w:rPr>
                <w:rFonts w:ascii="Garamond" w:hAnsi="Garamond"/>
              </w:rPr>
            </w:pPr>
            <w:r w:rsidRPr="005B09A4">
              <w:rPr>
                <w:rFonts w:ascii="Garamond" w:hAnsi="Garamond"/>
              </w:rPr>
              <w:t>PV of Debt to Revenue Ratio</w:t>
            </w:r>
          </w:p>
        </w:tc>
        <w:tc>
          <w:tcPr>
            <w:tcW w:w="1354" w:type="dxa"/>
            <w:tcBorders>
              <w:top w:val="nil"/>
              <w:left w:val="nil"/>
              <w:bottom w:val="single" w:sz="4" w:space="0" w:color="auto"/>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250</w:t>
            </w:r>
          </w:p>
        </w:tc>
        <w:tc>
          <w:tcPr>
            <w:tcW w:w="1254" w:type="dxa"/>
            <w:tcBorders>
              <w:top w:val="nil"/>
              <w:left w:val="nil"/>
              <w:bottom w:val="single" w:sz="4" w:space="0" w:color="auto"/>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127</w:t>
            </w:r>
          </w:p>
        </w:tc>
        <w:tc>
          <w:tcPr>
            <w:tcW w:w="1254" w:type="dxa"/>
            <w:tcBorders>
              <w:top w:val="nil"/>
              <w:left w:val="nil"/>
              <w:bottom w:val="single" w:sz="4" w:space="0" w:color="auto"/>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129.3</w:t>
            </w:r>
          </w:p>
        </w:tc>
        <w:tc>
          <w:tcPr>
            <w:tcW w:w="1254" w:type="dxa"/>
            <w:tcBorders>
              <w:top w:val="nil"/>
              <w:left w:val="nil"/>
              <w:bottom w:val="single" w:sz="4" w:space="0" w:color="auto"/>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126.7</w:t>
            </w:r>
          </w:p>
        </w:tc>
        <w:tc>
          <w:tcPr>
            <w:tcW w:w="1254" w:type="dxa"/>
            <w:tcBorders>
              <w:top w:val="nil"/>
              <w:left w:val="nil"/>
              <w:bottom w:val="single" w:sz="4" w:space="0" w:color="auto"/>
              <w:right w:val="nil"/>
            </w:tcBorders>
            <w:shd w:val="clear" w:color="auto" w:fill="auto"/>
            <w:noWrap/>
            <w:vAlign w:val="bottom"/>
            <w:hideMark/>
          </w:tcPr>
          <w:p w:rsidR="00BD6122" w:rsidRPr="005B09A4" w:rsidRDefault="00BD6122" w:rsidP="00F925B3">
            <w:pPr>
              <w:spacing w:after="0" w:line="240" w:lineRule="auto"/>
              <w:jc w:val="center"/>
              <w:rPr>
                <w:rFonts w:ascii="Garamond" w:hAnsi="Garamond"/>
              </w:rPr>
            </w:pPr>
            <w:r w:rsidRPr="005B09A4">
              <w:rPr>
                <w:rFonts w:ascii="Garamond" w:hAnsi="Garamond"/>
              </w:rPr>
              <w:t>117.6</w:t>
            </w:r>
          </w:p>
        </w:tc>
      </w:tr>
    </w:tbl>
    <w:p w:rsidR="00A93B19" w:rsidRDefault="00BD6122" w:rsidP="00E9591A">
      <w:pPr>
        <w:autoSpaceDE w:val="0"/>
        <w:autoSpaceDN w:val="0"/>
        <w:adjustRightInd w:val="0"/>
        <w:spacing w:after="0" w:line="360" w:lineRule="auto"/>
        <w:jc w:val="both"/>
      </w:pPr>
      <w:r>
        <w:rPr>
          <w:rFonts w:ascii="Garamond" w:hAnsi="Garamond"/>
        </w:rPr>
        <w:t>Source: IMF (2016)</w:t>
      </w:r>
    </w:p>
    <w:p w:rsidR="00333CA5" w:rsidRDefault="008B7446" w:rsidP="008B7446">
      <w:pPr>
        <w:autoSpaceDE w:val="0"/>
        <w:autoSpaceDN w:val="0"/>
        <w:adjustRightInd w:val="0"/>
        <w:spacing w:after="0" w:line="240" w:lineRule="auto"/>
        <w:jc w:val="both"/>
        <w:rPr>
          <w:rFonts w:ascii="Garamond" w:eastAsiaTheme="minorHAnsi" w:hAnsi="Garamond" w:cs="MyriadPro-Regular"/>
          <w:sz w:val="24"/>
          <w:szCs w:val="24"/>
          <w:lang w:val="en-GB"/>
        </w:rPr>
      </w:pPr>
      <w:r w:rsidRPr="008B7446">
        <w:rPr>
          <w:rFonts w:ascii="Garamond" w:eastAsiaTheme="minorHAnsi" w:hAnsi="Garamond" w:cs="MyriadPro-Regular"/>
          <w:sz w:val="24"/>
          <w:szCs w:val="24"/>
          <w:lang w:val="en-GB"/>
        </w:rPr>
        <w:t>Looking to the future, external financing, primarily in the form of concessional loans from official multilateral and bilateral sources, but increasingly loans on non-concessional terms will continue to supplement public investment needs of the country.</w:t>
      </w:r>
    </w:p>
    <w:p w:rsidR="00333CA5" w:rsidRDefault="00333CA5" w:rsidP="008B7446">
      <w:pPr>
        <w:autoSpaceDE w:val="0"/>
        <w:autoSpaceDN w:val="0"/>
        <w:adjustRightInd w:val="0"/>
        <w:spacing w:after="0" w:line="240" w:lineRule="auto"/>
        <w:jc w:val="both"/>
        <w:rPr>
          <w:rFonts w:ascii="Garamond" w:eastAsiaTheme="minorHAnsi" w:hAnsi="Garamond" w:cs="MyriadPro-Regular"/>
          <w:sz w:val="24"/>
          <w:szCs w:val="24"/>
          <w:lang w:val="en-GB"/>
        </w:rPr>
      </w:pPr>
    </w:p>
    <w:p w:rsidR="00B31252" w:rsidRPr="00393110" w:rsidRDefault="008E52DD" w:rsidP="00393110">
      <w:pPr>
        <w:pStyle w:val="Heading2"/>
        <w:rPr>
          <w:rFonts w:ascii="Garamond" w:hAnsi="Garamond"/>
          <w:b/>
          <w:sz w:val="24"/>
          <w:szCs w:val="24"/>
        </w:rPr>
      </w:pPr>
      <w:bookmarkStart w:id="83" w:name="_Toc486782278"/>
      <w:r w:rsidRPr="00393110">
        <w:rPr>
          <w:rFonts w:ascii="Garamond" w:eastAsiaTheme="minorHAnsi" w:hAnsi="Garamond" w:cs="MyriadPro-Regular"/>
          <w:b/>
          <w:sz w:val="24"/>
          <w:szCs w:val="24"/>
          <w:lang w:val="en-GB"/>
        </w:rPr>
        <w:t>6.</w:t>
      </w:r>
      <w:r w:rsidR="007F6BF1" w:rsidRPr="00393110">
        <w:rPr>
          <w:rFonts w:ascii="Garamond" w:eastAsiaTheme="minorHAnsi" w:hAnsi="Garamond" w:cs="MyriadPro-Regular"/>
          <w:b/>
          <w:sz w:val="24"/>
          <w:szCs w:val="24"/>
          <w:lang w:val="en-GB"/>
        </w:rPr>
        <w:t>3</w:t>
      </w:r>
      <w:r w:rsidRPr="00393110">
        <w:rPr>
          <w:rFonts w:ascii="Garamond" w:eastAsiaTheme="minorHAnsi" w:hAnsi="Garamond" w:cs="MyriadPro-Regular"/>
          <w:b/>
          <w:sz w:val="24"/>
          <w:szCs w:val="24"/>
          <w:lang w:val="en-GB"/>
        </w:rPr>
        <w:t xml:space="preserve"> </w:t>
      </w:r>
      <w:r w:rsidR="00B31252" w:rsidRPr="00393110">
        <w:rPr>
          <w:rFonts w:ascii="Garamond" w:hAnsi="Garamond"/>
          <w:b/>
          <w:sz w:val="24"/>
          <w:szCs w:val="24"/>
        </w:rPr>
        <w:t>Remittances</w:t>
      </w:r>
      <w:bookmarkEnd w:id="83"/>
      <w:r w:rsidR="00B31252" w:rsidRPr="00393110">
        <w:rPr>
          <w:rFonts w:ascii="Garamond" w:hAnsi="Garamond"/>
          <w:b/>
          <w:sz w:val="24"/>
          <w:szCs w:val="24"/>
        </w:rPr>
        <w:t xml:space="preserve">  </w:t>
      </w:r>
    </w:p>
    <w:p w:rsidR="00B31252" w:rsidRDefault="00B31252" w:rsidP="00B31252">
      <w:pPr>
        <w:autoSpaceDE w:val="0"/>
        <w:autoSpaceDN w:val="0"/>
        <w:adjustRightInd w:val="0"/>
        <w:spacing w:after="0" w:line="240" w:lineRule="auto"/>
        <w:jc w:val="both"/>
        <w:rPr>
          <w:rFonts w:ascii="Garamond" w:hAnsi="Garamond"/>
          <w:sz w:val="24"/>
          <w:szCs w:val="24"/>
        </w:rPr>
      </w:pPr>
    </w:p>
    <w:p w:rsidR="00B31252" w:rsidRDefault="007156E2" w:rsidP="007156E2">
      <w:pPr>
        <w:autoSpaceDE w:val="0"/>
        <w:autoSpaceDN w:val="0"/>
        <w:adjustRightInd w:val="0"/>
        <w:spacing w:after="0" w:line="240" w:lineRule="auto"/>
        <w:jc w:val="both"/>
        <w:rPr>
          <w:rFonts w:ascii="Garamond" w:hAnsi="Garamond"/>
          <w:sz w:val="24"/>
          <w:szCs w:val="24"/>
        </w:rPr>
      </w:pPr>
      <w:r w:rsidRPr="002A17E7">
        <w:rPr>
          <w:rFonts w:ascii="Garamond" w:hAnsi="Garamond"/>
          <w:sz w:val="24"/>
          <w:szCs w:val="24"/>
        </w:rPr>
        <w:t>The level of international migrant</w:t>
      </w:r>
      <w:r>
        <w:rPr>
          <w:rFonts w:ascii="Garamond" w:hAnsi="Garamond"/>
          <w:sz w:val="24"/>
          <w:szCs w:val="24"/>
        </w:rPr>
        <w:t>s</w:t>
      </w:r>
      <w:r w:rsidRPr="002A17E7">
        <w:rPr>
          <w:rFonts w:ascii="Garamond" w:hAnsi="Garamond"/>
          <w:sz w:val="24"/>
          <w:szCs w:val="24"/>
        </w:rPr>
        <w:t xml:space="preserve"> stock increased by 7.9 percent per year between 2010 and 2013. During this period, some 45,876 migrants were added annually, with 24741 male and 21135 female migrants.</w:t>
      </w:r>
      <w:r>
        <w:rPr>
          <w:rStyle w:val="FootnoteReference"/>
          <w:rFonts w:ascii="Garamond" w:hAnsi="Garamond"/>
          <w:sz w:val="24"/>
          <w:szCs w:val="24"/>
        </w:rPr>
        <w:footnoteReference w:id="27"/>
      </w:r>
      <w:r w:rsidRPr="002A17E7">
        <w:rPr>
          <w:rFonts w:ascii="Garamond" w:hAnsi="Garamond"/>
          <w:sz w:val="24"/>
          <w:szCs w:val="24"/>
        </w:rPr>
        <w:t xml:space="preserve"> </w:t>
      </w:r>
      <w:r w:rsidR="00B31252">
        <w:rPr>
          <w:rFonts w:ascii="Garamond" w:hAnsi="Garamond"/>
          <w:sz w:val="24"/>
          <w:szCs w:val="24"/>
        </w:rPr>
        <w:t xml:space="preserve">International </w:t>
      </w:r>
      <w:r w:rsidR="00B31252" w:rsidRPr="001E15D8">
        <w:rPr>
          <w:rFonts w:ascii="Garamond" w:hAnsi="Garamond"/>
          <w:sz w:val="24"/>
          <w:szCs w:val="24"/>
        </w:rPr>
        <w:t>remittance</w:t>
      </w:r>
      <w:r w:rsidR="00B31252">
        <w:rPr>
          <w:rFonts w:ascii="Garamond" w:hAnsi="Garamond"/>
          <w:sz w:val="24"/>
          <w:szCs w:val="24"/>
        </w:rPr>
        <w:t xml:space="preserve"> </w:t>
      </w:r>
      <w:r w:rsidR="00B31252" w:rsidRPr="001E15D8">
        <w:rPr>
          <w:rFonts w:ascii="Garamond" w:hAnsi="Garamond"/>
          <w:sz w:val="24"/>
          <w:szCs w:val="24"/>
        </w:rPr>
        <w:t>forms the major share of dev</w:t>
      </w:r>
      <w:r w:rsidR="00B31252">
        <w:rPr>
          <w:rFonts w:ascii="Garamond" w:hAnsi="Garamond"/>
          <w:sz w:val="24"/>
          <w:szCs w:val="24"/>
        </w:rPr>
        <w:t xml:space="preserve">elopment financing in Ethiopia. </w:t>
      </w:r>
      <w:r w:rsidR="00B31252" w:rsidRPr="00F11923">
        <w:rPr>
          <w:rFonts w:ascii="Garamond" w:hAnsi="Garamond"/>
          <w:sz w:val="24"/>
          <w:szCs w:val="24"/>
        </w:rPr>
        <w:t>Remittances have been growing rapidly</w:t>
      </w:r>
      <w:r w:rsidR="00B31252">
        <w:rPr>
          <w:rFonts w:ascii="Garamond" w:hAnsi="Garamond"/>
          <w:sz w:val="24"/>
          <w:szCs w:val="24"/>
        </w:rPr>
        <w:t xml:space="preserve"> by about 25.9 percent </w:t>
      </w:r>
      <w:r w:rsidR="00B31252" w:rsidRPr="00F11923">
        <w:rPr>
          <w:rFonts w:ascii="Garamond" w:hAnsi="Garamond"/>
          <w:sz w:val="24"/>
          <w:szCs w:val="24"/>
        </w:rPr>
        <w:t>per annum</w:t>
      </w:r>
      <w:r w:rsidR="00B31252">
        <w:rPr>
          <w:rFonts w:ascii="Garamond" w:hAnsi="Garamond"/>
          <w:sz w:val="24"/>
          <w:szCs w:val="24"/>
        </w:rPr>
        <w:t xml:space="preserve"> </w:t>
      </w:r>
      <w:r w:rsidR="00B31252" w:rsidRPr="00F11923">
        <w:rPr>
          <w:rFonts w:ascii="Garamond" w:hAnsi="Garamond"/>
          <w:sz w:val="24"/>
          <w:szCs w:val="24"/>
        </w:rPr>
        <w:t xml:space="preserve">and </w:t>
      </w:r>
      <w:r w:rsidR="00B31252">
        <w:rPr>
          <w:rFonts w:ascii="Garamond" w:hAnsi="Garamond"/>
          <w:sz w:val="24"/>
          <w:szCs w:val="24"/>
        </w:rPr>
        <w:t xml:space="preserve">reached </w:t>
      </w:r>
      <w:r w:rsidR="00B31252" w:rsidRPr="00F11923">
        <w:rPr>
          <w:rFonts w:ascii="Garamond" w:hAnsi="Garamond"/>
          <w:sz w:val="24"/>
          <w:szCs w:val="24"/>
        </w:rPr>
        <w:t xml:space="preserve">close to </w:t>
      </w:r>
      <w:r w:rsidR="00B31252">
        <w:rPr>
          <w:rFonts w:ascii="Garamond" w:hAnsi="Garamond"/>
          <w:sz w:val="24"/>
          <w:szCs w:val="24"/>
        </w:rPr>
        <w:t>ETB 126.7</w:t>
      </w:r>
      <w:r w:rsidR="00B31252" w:rsidRPr="00F11923">
        <w:rPr>
          <w:rFonts w:ascii="Garamond" w:hAnsi="Garamond"/>
          <w:sz w:val="24"/>
          <w:szCs w:val="24"/>
        </w:rPr>
        <w:t xml:space="preserve"> billion </w:t>
      </w:r>
      <w:r w:rsidR="00B31252">
        <w:rPr>
          <w:rFonts w:ascii="Garamond" w:hAnsi="Garamond"/>
          <w:sz w:val="24"/>
          <w:szCs w:val="24"/>
        </w:rPr>
        <w:t>in 2015/16, higher than the value of merchandise exports during the same period.</w:t>
      </w:r>
      <w:r w:rsidR="00B31252" w:rsidRPr="00861F29">
        <w:rPr>
          <w:rFonts w:ascii="Garamond" w:hAnsi="Garamond"/>
          <w:sz w:val="24"/>
          <w:szCs w:val="24"/>
        </w:rPr>
        <w:t xml:space="preserve"> </w:t>
      </w:r>
      <w:r w:rsidR="00B31252" w:rsidRPr="002A17E7">
        <w:rPr>
          <w:rFonts w:ascii="Garamond" w:hAnsi="Garamond"/>
          <w:sz w:val="24"/>
          <w:szCs w:val="24"/>
        </w:rPr>
        <w:t>Note that actual remittance inflows to Ethiopia could be higher than that reported by the National Bank of Ethiopia as people use informal ways of transferring money.</w:t>
      </w:r>
      <w:r w:rsidR="00B31252">
        <w:rPr>
          <w:rStyle w:val="FootnoteReference"/>
          <w:rFonts w:ascii="Garamond" w:hAnsi="Garamond"/>
          <w:sz w:val="24"/>
          <w:szCs w:val="24"/>
        </w:rPr>
        <w:footnoteReference w:id="28"/>
      </w:r>
      <w:r w:rsidR="00B31252" w:rsidRPr="002A17E7">
        <w:rPr>
          <w:rFonts w:ascii="Garamond" w:hAnsi="Garamond"/>
          <w:sz w:val="24"/>
          <w:szCs w:val="24"/>
        </w:rPr>
        <w:t xml:space="preserve"> Remittances have become an important source of foreign exchange in Ethiopia and helped narrow the deficit in the balance of payments. </w:t>
      </w:r>
    </w:p>
    <w:p w:rsidR="00B31252" w:rsidRDefault="00B31252" w:rsidP="00B31252">
      <w:pPr>
        <w:autoSpaceDE w:val="0"/>
        <w:autoSpaceDN w:val="0"/>
        <w:adjustRightInd w:val="0"/>
        <w:spacing w:after="0" w:line="240" w:lineRule="auto"/>
        <w:jc w:val="both"/>
        <w:rPr>
          <w:rFonts w:ascii="Garamond" w:hAnsi="Garamond"/>
          <w:sz w:val="24"/>
          <w:szCs w:val="24"/>
        </w:rPr>
      </w:pPr>
    </w:p>
    <w:p w:rsidR="00B31252" w:rsidRDefault="00B31252" w:rsidP="00113141">
      <w:pPr>
        <w:autoSpaceDE w:val="0"/>
        <w:autoSpaceDN w:val="0"/>
        <w:adjustRightInd w:val="0"/>
        <w:spacing w:after="0" w:line="240" w:lineRule="auto"/>
        <w:jc w:val="both"/>
        <w:rPr>
          <w:rFonts w:ascii="Garamond" w:hAnsi="Garamond"/>
          <w:sz w:val="24"/>
          <w:szCs w:val="24"/>
        </w:rPr>
      </w:pPr>
      <w:r w:rsidRPr="00A31492">
        <w:rPr>
          <w:rFonts w:ascii="Garamond" w:hAnsi="Garamond"/>
          <w:sz w:val="24"/>
          <w:szCs w:val="24"/>
        </w:rPr>
        <w:t>There are different factors affecting the inflow of remittances including among others remittance fees for transferring remittances, size of Diaspora, and accessibility of money transfer agents. At global level, fees are expensive, at average 8 percent and the figure for sub-Saharan Africa is even more expensive at 12 percent.</w:t>
      </w:r>
      <w:r w:rsidR="00E56AAA">
        <w:rPr>
          <w:rStyle w:val="FootnoteReference"/>
          <w:rFonts w:ascii="Garamond" w:hAnsi="Garamond"/>
          <w:sz w:val="24"/>
          <w:szCs w:val="24"/>
        </w:rPr>
        <w:footnoteReference w:id="29"/>
      </w:r>
      <w:r w:rsidRPr="00A31492">
        <w:rPr>
          <w:rFonts w:ascii="Garamond" w:hAnsi="Garamond"/>
          <w:sz w:val="24"/>
          <w:szCs w:val="24"/>
        </w:rPr>
        <w:t xml:space="preserve"> </w:t>
      </w:r>
      <w:r w:rsidR="007D4A4F" w:rsidRPr="00A31492">
        <w:rPr>
          <w:rFonts w:ascii="Garamond" w:hAnsi="Garamond"/>
          <w:sz w:val="24"/>
          <w:szCs w:val="24"/>
        </w:rPr>
        <w:t xml:space="preserve">Improving </w:t>
      </w:r>
      <w:r w:rsidR="007D4A4F" w:rsidRPr="00A31492">
        <w:rPr>
          <w:rFonts w:ascii="Garamond" w:eastAsiaTheme="minorHAnsi" w:hAnsi="Garamond" w:cs="MyriadPro-Regular"/>
          <w:sz w:val="24"/>
          <w:szCs w:val="24"/>
          <w:lang w:val="en-GB"/>
        </w:rPr>
        <w:t>access to formal banking services shall be a key step forward to reduce the cost of remittances and this could also facilitate savings, future access to microcredit for productive activities and to extend access and improve monitoring of a variety of social protection services.</w:t>
      </w:r>
      <w:r w:rsidR="007D4A4F" w:rsidRPr="00A31492">
        <w:rPr>
          <w:rFonts w:ascii="Garamond" w:hAnsi="Garamond"/>
          <w:sz w:val="24"/>
          <w:szCs w:val="24"/>
        </w:rPr>
        <w:t xml:space="preserve"> </w:t>
      </w:r>
      <w:r w:rsidR="00A31492" w:rsidRPr="00A31492">
        <w:rPr>
          <w:rFonts w:ascii="Garamond" w:hAnsi="Garamond"/>
          <w:sz w:val="24"/>
          <w:szCs w:val="24"/>
        </w:rPr>
        <w:t>In addition, t</w:t>
      </w:r>
      <w:r w:rsidRPr="00A31492">
        <w:rPr>
          <w:rFonts w:ascii="Garamond" w:hAnsi="Garamond"/>
          <w:sz w:val="24"/>
          <w:szCs w:val="24"/>
        </w:rPr>
        <w:t xml:space="preserve">he cost of transferring remittances can </w:t>
      </w:r>
      <w:r w:rsidR="00A31492" w:rsidRPr="00A31492">
        <w:rPr>
          <w:rFonts w:ascii="Garamond" w:hAnsi="Garamond"/>
          <w:sz w:val="24"/>
          <w:szCs w:val="24"/>
        </w:rPr>
        <w:t xml:space="preserve">also </w:t>
      </w:r>
      <w:r w:rsidRPr="00A31492">
        <w:rPr>
          <w:rFonts w:ascii="Garamond" w:hAnsi="Garamond"/>
          <w:sz w:val="24"/>
          <w:szCs w:val="24"/>
        </w:rPr>
        <w:t xml:space="preserve">be reduced by fostering competition through encouraging other institutions, such as post offices, cooperatives, microfinance institutions, or possibly telecom operators to play </w:t>
      </w:r>
      <w:r w:rsidR="00E77B96">
        <w:rPr>
          <w:rFonts w:ascii="Garamond" w:hAnsi="Garamond"/>
          <w:sz w:val="24"/>
          <w:szCs w:val="24"/>
        </w:rPr>
        <w:t>a larger role in money transfer</w:t>
      </w:r>
      <w:r w:rsidRPr="00A31492">
        <w:rPr>
          <w:rFonts w:ascii="Garamond" w:hAnsi="Garamond"/>
          <w:sz w:val="24"/>
          <w:szCs w:val="24"/>
        </w:rPr>
        <w:t xml:space="preserve">. </w:t>
      </w:r>
      <w:r w:rsidR="00A31492" w:rsidRPr="00A31492">
        <w:rPr>
          <w:rFonts w:ascii="Garamond" w:eastAsiaTheme="minorHAnsi" w:hAnsi="Garamond" w:cs="MyriadPro-Regular"/>
          <w:sz w:val="20"/>
          <w:szCs w:val="20"/>
          <w:lang w:val="en-GB"/>
        </w:rPr>
        <w:t xml:space="preserve">By </w:t>
      </w:r>
      <w:r w:rsidR="00A31492" w:rsidRPr="00A31492">
        <w:rPr>
          <w:rFonts w:ascii="Garamond" w:eastAsiaTheme="minorHAnsi" w:hAnsi="Garamond" w:cs="MyriadPro-Regular"/>
          <w:sz w:val="24"/>
          <w:szCs w:val="24"/>
          <w:lang w:val="en-GB"/>
        </w:rPr>
        <w:t xml:space="preserve">these means the use of remittances could be used to boost greater financial inclusion. </w:t>
      </w:r>
      <w:r w:rsidRPr="00A31492">
        <w:rPr>
          <w:rFonts w:ascii="Garamond" w:eastAsiaTheme="minorHAnsi" w:hAnsi="Garamond" w:cs="MyriadPro-Regular"/>
          <w:sz w:val="24"/>
          <w:szCs w:val="24"/>
          <w:lang w:val="en-GB"/>
        </w:rPr>
        <w:t>International</w:t>
      </w:r>
      <w:r w:rsidRPr="00A31492">
        <w:rPr>
          <w:rFonts w:ascii="Garamond" w:hAnsi="Garamond"/>
          <w:sz w:val="24"/>
          <w:szCs w:val="24"/>
        </w:rPr>
        <w:t xml:space="preserve"> </w:t>
      </w:r>
      <w:r w:rsidRPr="00A31492">
        <w:rPr>
          <w:rFonts w:ascii="Garamond" w:hAnsi="Garamond"/>
          <w:sz w:val="24"/>
          <w:szCs w:val="24"/>
        </w:rPr>
        <w:lastRenderedPageBreak/>
        <w:t xml:space="preserve">remittances inflow can also be facilitated by opening up bank branches or money transfer agents in areas where there is large concentration of Diaspora, with certain incentives to reduce transfer fees.   </w:t>
      </w:r>
    </w:p>
    <w:p w:rsidR="002273DF" w:rsidRPr="00A31492" w:rsidRDefault="00113141" w:rsidP="00113141">
      <w:pPr>
        <w:autoSpaceDE w:val="0"/>
        <w:autoSpaceDN w:val="0"/>
        <w:adjustRightInd w:val="0"/>
        <w:spacing w:after="0" w:line="240" w:lineRule="auto"/>
        <w:jc w:val="both"/>
        <w:rPr>
          <w:rFonts w:ascii="Garamond" w:hAnsi="Garamond"/>
          <w:sz w:val="24"/>
          <w:szCs w:val="24"/>
        </w:rPr>
      </w:pPr>
      <w:r w:rsidRPr="00113141">
        <w:rPr>
          <w:rFonts w:ascii="Garamond" w:hAnsi="Garamond"/>
          <w:sz w:val="24"/>
          <w:szCs w:val="24"/>
        </w:rPr>
        <w:t>Although t</w:t>
      </w:r>
      <w:r w:rsidR="002273DF" w:rsidRPr="00113141">
        <w:rPr>
          <w:rFonts w:ascii="Garamond" w:hAnsi="Garamond"/>
          <w:sz w:val="24"/>
          <w:szCs w:val="24"/>
        </w:rPr>
        <w:t xml:space="preserve">he </w:t>
      </w:r>
      <w:r w:rsidRPr="00113141">
        <w:rPr>
          <w:rFonts w:ascii="Garamond" w:hAnsi="Garamond"/>
          <w:sz w:val="24"/>
          <w:szCs w:val="24"/>
        </w:rPr>
        <w:t xml:space="preserve">medium-term development plan (GTP-II) recognizes the role of remittances as a source of foreign exchange, it </w:t>
      </w:r>
      <w:r w:rsidR="002273DF" w:rsidRPr="00113141">
        <w:rPr>
          <w:rFonts w:ascii="Garamond" w:hAnsi="Garamond"/>
          <w:sz w:val="24"/>
          <w:szCs w:val="24"/>
        </w:rPr>
        <w:t xml:space="preserve">does not explicitly address this with the same level of priority and </w:t>
      </w:r>
      <w:r w:rsidR="006E5499">
        <w:rPr>
          <w:rFonts w:ascii="Garamond" w:hAnsi="Garamond"/>
          <w:sz w:val="24"/>
          <w:szCs w:val="24"/>
        </w:rPr>
        <w:t xml:space="preserve">does not provide </w:t>
      </w:r>
      <w:r w:rsidR="002273DF" w:rsidRPr="00113141">
        <w:rPr>
          <w:rFonts w:ascii="Garamond" w:hAnsi="Garamond"/>
          <w:sz w:val="24"/>
          <w:szCs w:val="24"/>
        </w:rPr>
        <w:t>any explicit operational linkages between national priorities.</w:t>
      </w:r>
      <w:r>
        <w:rPr>
          <w:rFonts w:ascii="Garamond" w:hAnsi="Garamond"/>
          <w:sz w:val="24"/>
          <w:szCs w:val="24"/>
        </w:rPr>
        <w:t xml:space="preserve"> For instance, there are no indicators to monitor remittances and promote remittance flow and utilization.  </w:t>
      </w:r>
    </w:p>
    <w:p w:rsidR="00B31252" w:rsidRDefault="00B31252" w:rsidP="00B31252">
      <w:pPr>
        <w:pStyle w:val="Caption"/>
        <w:spacing w:after="0"/>
        <w:rPr>
          <w:rFonts w:ascii="Garamond" w:hAnsi="Garamond"/>
          <w:sz w:val="22"/>
          <w:szCs w:val="22"/>
        </w:rPr>
      </w:pPr>
      <w:bookmarkStart w:id="84" w:name="_Toc486585963"/>
      <w:r w:rsidRPr="00075FD8">
        <w:rPr>
          <w:rFonts w:ascii="Garamond" w:hAnsi="Garamond"/>
          <w:sz w:val="22"/>
          <w:szCs w:val="22"/>
        </w:rPr>
        <w:t xml:space="preserve">Figure </w:t>
      </w:r>
      <w:r w:rsidR="00BF3BBC" w:rsidRPr="00075FD8">
        <w:rPr>
          <w:rFonts w:ascii="Garamond" w:hAnsi="Garamond"/>
          <w:sz w:val="22"/>
          <w:szCs w:val="22"/>
        </w:rPr>
        <w:fldChar w:fldCharType="begin"/>
      </w:r>
      <w:r w:rsidRPr="00075FD8">
        <w:rPr>
          <w:rFonts w:ascii="Garamond" w:hAnsi="Garamond"/>
          <w:sz w:val="22"/>
          <w:szCs w:val="22"/>
        </w:rPr>
        <w:instrText xml:space="preserve"> SEQ Figure \* ARABIC </w:instrText>
      </w:r>
      <w:r w:rsidR="00BF3BBC" w:rsidRPr="00075FD8">
        <w:rPr>
          <w:rFonts w:ascii="Garamond" w:hAnsi="Garamond"/>
          <w:sz w:val="22"/>
          <w:szCs w:val="22"/>
        </w:rPr>
        <w:fldChar w:fldCharType="separate"/>
      </w:r>
      <w:r w:rsidR="006C24A4">
        <w:rPr>
          <w:rFonts w:ascii="Garamond" w:hAnsi="Garamond"/>
          <w:noProof/>
          <w:sz w:val="22"/>
          <w:szCs w:val="22"/>
        </w:rPr>
        <w:t>28</w:t>
      </w:r>
      <w:r w:rsidR="00BF3BBC" w:rsidRPr="00075FD8">
        <w:rPr>
          <w:rFonts w:ascii="Garamond" w:hAnsi="Garamond"/>
          <w:sz w:val="22"/>
          <w:szCs w:val="22"/>
        </w:rPr>
        <w:fldChar w:fldCharType="end"/>
      </w:r>
      <w:r w:rsidRPr="00075FD8">
        <w:rPr>
          <w:rFonts w:ascii="Garamond" w:hAnsi="Garamond"/>
          <w:sz w:val="22"/>
          <w:szCs w:val="22"/>
        </w:rPr>
        <w:t xml:space="preserve">: Remittances flows to Ethiopia (in </w:t>
      </w:r>
      <w:r>
        <w:rPr>
          <w:rFonts w:ascii="Garamond" w:hAnsi="Garamond"/>
          <w:sz w:val="22"/>
          <w:szCs w:val="22"/>
        </w:rPr>
        <w:t>b</w:t>
      </w:r>
      <w:r w:rsidRPr="00075FD8">
        <w:rPr>
          <w:rFonts w:ascii="Garamond" w:hAnsi="Garamond"/>
          <w:sz w:val="22"/>
          <w:szCs w:val="22"/>
        </w:rPr>
        <w:t>illion ETB)</w:t>
      </w:r>
      <w:bookmarkEnd w:id="84"/>
    </w:p>
    <w:p w:rsidR="00B31252" w:rsidRPr="00543024" w:rsidRDefault="00B31252" w:rsidP="00B31252">
      <w:pPr>
        <w:spacing w:after="0" w:line="240" w:lineRule="auto"/>
        <w:rPr>
          <w:lang w:val="en-GB" w:eastAsia="en-GB"/>
        </w:rPr>
      </w:pPr>
      <w:r>
        <w:rPr>
          <w:noProof/>
        </w:rPr>
        <w:drawing>
          <wp:inline distT="0" distB="0" distL="0" distR="0">
            <wp:extent cx="5159375" cy="1643743"/>
            <wp:effectExtent l="0" t="0" r="3175" b="1397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31252" w:rsidRDefault="00B31252" w:rsidP="00EF46F9">
      <w:pPr>
        <w:autoSpaceDE w:val="0"/>
        <w:autoSpaceDN w:val="0"/>
        <w:adjustRightInd w:val="0"/>
        <w:spacing w:after="0" w:line="240" w:lineRule="auto"/>
        <w:jc w:val="both"/>
        <w:rPr>
          <w:rFonts w:ascii="Garamond" w:hAnsi="Garamond"/>
        </w:rPr>
      </w:pPr>
      <w:r w:rsidRPr="009C6286">
        <w:rPr>
          <w:rFonts w:ascii="Garamond" w:hAnsi="Garamond"/>
        </w:rPr>
        <w:t>Source: NBE</w:t>
      </w:r>
      <w:r>
        <w:rPr>
          <w:rFonts w:ascii="Garamond" w:hAnsi="Garamond"/>
        </w:rPr>
        <w:t xml:space="preserve"> (2016)</w:t>
      </w:r>
    </w:p>
    <w:p w:rsidR="00113141" w:rsidRPr="00113141" w:rsidRDefault="00A61788" w:rsidP="00113141">
      <w:pPr>
        <w:autoSpaceDE w:val="0"/>
        <w:autoSpaceDN w:val="0"/>
        <w:adjustRightInd w:val="0"/>
        <w:spacing w:after="0" w:line="240" w:lineRule="auto"/>
        <w:jc w:val="both"/>
        <w:rPr>
          <w:rFonts w:ascii="Garamond" w:eastAsiaTheme="minorHAnsi" w:hAnsi="Garamond" w:cs="MyriadPro-Regular"/>
          <w:sz w:val="24"/>
          <w:szCs w:val="24"/>
          <w:lang w:val="en-GB"/>
        </w:rPr>
      </w:pPr>
      <w:r w:rsidRPr="00A61788">
        <w:rPr>
          <w:rFonts w:ascii="Garamond" w:eastAsiaTheme="minorHAnsi" w:hAnsi="Garamond" w:cs="MyriadPro-Regular"/>
          <w:sz w:val="24"/>
          <w:szCs w:val="24"/>
          <w:lang w:val="en-GB"/>
        </w:rPr>
        <w:t>The Ministry of Labour and Social Affairs (MoLSA) is responsible for formulating policies, plans, enacting laws, rules and regulations, and monitoring relating to the management of overseas employment as well as overall welfare of expatriate workers.</w:t>
      </w:r>
      <w:r w:rsidR="007168E4">
        <w:rPr>
          <w:rFonts w:ascii="Garamond" w:eastAsiaTheme="minorHAnsi" w:hAnsi="Garamond" w:cs="MyriadPro-Regular"/>
          <w:sz w:val="24"/>
          <w:szCs w:val="24"/>
          <w:lang w:val="en-GB"/>
        </w:rPr>
        <w:t xml:space="preserve"> </w:t>
      </w:r>
      <w:r w:rsidR="00113141" w:rsidRPr="00113141">
        <w:rPr>
          <w:rFonts w:ascii="Garamond" w:eastAsiaTheme="minorHAnsi" w:hAnsi="Garamond" w:cs="MyriadPro-Regular"/>
          <w:sz w:val="24"/>
          <w:szCs w:val="24"/>
          <w:lang w:val="en-GB"/>
        </w:rPr>
        <w:t xml:space="preserve">There seems to be ample room for improving the impact of remittances on savings and productive activities. Remittances are mostly directed to support consumption </w:t>
      </w:r>
      <w:r w:rsidR="00FA7B28">
        <w:rPr>
          <w:rFonts w:ascii="Garamond" w:eastAsiaTheme="minorHAnsi" w:hAnsi="Garamond" w:cs="MyriadPro-Regular"/>
          <w:sz w:val="24"/>
          <w:szCs w:val="24"/>
          <w:lang w:val="en-GB"/>
        </w:rPr>
        <w:t xml:space="preserve">in Ethiopia </w:t>
      </w:r>
      <w:r w:rsidR="00113141" w:rsidRPr="00113141">
        <w:rPr>
          <w:rFonts w:ascii="Garamond" w:eastAsiaTheme="minorHAnsi" w:hAnsi="Garamond" w:cs="MyriadPro-Regular"/>
          <w:sz w:val="24"/>
          <w:szCs w:val="24"/>
          <w:lang w:val="en-GB"/>
        </w:rPr>
        <w:t>and are not fully used to develop</w:t>
      </w:r>
      <w:r w:rsidR="00113141">
        <w:rPr>
          <w:rFonts w:ascii="Garamond" w:eastAsiaTheme="minorHAnsi" w:hAnsi="Garamond" w:cs="MyriadPro-Regular"/>
          <w:sz w:val="24"/>
          <w:szCs w:val="24"/>
          <w:lang w:val="en-GB"/>
        </w:rPr>
        <w:t xml:space="preserve"> </w:t>
      </w:r>
      <w:r w:rsidR="00113141" w:rsidRPr="00113141">
        <w:rPr>
          <w:rFonts w:ascii="Garamond" w:eastAsiaTheme="minorHAnsi" w:hAnsi="Garamond" w:cs="MyriadPro-Regular"/>
          <w:sz w:val="24"/>
          <w:szCs w:val="24"/>
          <w:lang w:val="en-GB"/>
        </w:rPr>
        <w:t>productive activities.</w:t>
      </w:r>
      <w:r w:rsidR="00FA7B28">
        <w:rPr>
          <w:rStyle w:val="FootnoteReference"/>
          <w:rFonts w:ascii="Garamond" w:eastAsiaTheme="minorHAnsi" w:hAnsi="Garamond" w:cs="MyriadPro-Regular"/>
          <w:sz w:val="24"/>
          <w:szCs w:val="24"/>
          <w:lang w:val="en-GB"/>
        </w:rPr>
        <w:footnoteReference w:id="30"/>
      </w:r>
    </w:p>
    <w:p w:rsidR="00EF46F9" w:rsidRDefault="00EF46F9" w:rsidP="00EF46F9">
      <w:pPr>
        <w:pStyle w:val="Heading2"/>
        <w:spacing w:before="0" w:line="240" w:lineRule="auto"/>
        <w:rPr>
          <w:rFonts w:ascii="Garamond" w:hAnsi="Garamond"/>
          <w:b/>
          <w:sz w:val="24"/>
          <w:szCs w:val="24"/>
        </w:rPr>
      </w:pPr>
    </w:p>
    <w:p w:rsidR="00B31252" w:rsidRPr="00B31252" w:rsidRDefault="00B31252" w:rsidP="00B31252">
      <w:pPr>
        <w:pStyle w:val="Heading2"/>
        <w:rPr>
          <w:rFonts w:ascii="Garamond" w:hAnsi="Garamond"/>
          <w:b/>
          <w:sz w:val="24"/>
          <w:szCs w:val="24"/>
        </w:rPr>
      </w:pPr>
      <w:bookmarkStart w:id="85" w:name="_Toc486782279"/>
      <w:r w:rsidRPr="00B31252">
        <w:rPr>
          <w:rFonts w:ascii="Garamond" w:hAnsi="Garamond"/>
          <w:b/>
          <w:sz w:val="24"/>
          <w:szCs w:val="24"/>
        </w:rPr>
        <w:t>6.</w:t>
      </w:r>
      <w:r w:rsidR="00ED070F">
        <w:rPr>
          <w:rFonts w:ascii="Garamond" w:hAnsi="Garamond"/>
          <w:b/>
          <w:sz w:val="24"/>
          <w:szCs w:val="24"/>
        </w:rPr>
        <w:t>4</w:t>
      </w:r>
      <w:r w:rsidRPr="00B31252">
        <w:rPr>
          <w:rFonts w:ascii="Garamond" w:hAnsi="Garamond"/>
          <w:b/>
          <w:sz w:val="24"/>
          <w:szCs w:val="24"/>
        </w:rPr>
        <w:t xml:space="preserve"> Foreign direct investment (FDI)</w:t>
      </w:r>
      <w:bookmarkEnd w:id="85"/>
    </w:p>
    <w:p w:rsidR="00B31252" w:rsidRDefault="00B31252" w:rsidP="00B31252">
      <w:pPr>
        <w:autoSpaceDE w:val="0"/>
        <w:autoSpaceDN w:val="0"/>
        <w:adjustRightInd w:val="0"/>
        <w:spacing w:after="0" w:line="240" w:lineRule="auto"/>
        <w:jc w:val="both"/>
        <w:rPr>
          <w:rFonts w:ascii="Garamond" w:hAnsi="Garamond"/>
          <w:sz w:val="24"/>
          <w:szCs w:val="24"/>
        </w:rPr>
      </w:pPr>
    </w:p>
    <w:p w:rsidR="002F0208" w:rsidRPr="002F0208" w:rsidRDefault="00B31252" w:rsidP="00B31252">
      <w:pPr>
        <w:autoSpaceDE w:val="0"/>
        <w:autoSpaceDN w:val="0"/>
        <w:adjustRightInd w:val="0"/>
        <w:spacing w:after="0" w:line="240" w:lineRule="auto"/>
        <w:jc w:val="both"/>
        <w:rPr>
          <w:rFonts w:ascii="Garamond" w:hAnsi="Garamond"/>
          <w:sz w:val="24"/>
          <w:szCs w:val="24"/>
        </w:rPr>
      </w:pPr>
      <w:r>
        <w:rPr>
          <w:rFonts w:ascii="Garamond" w:hAnsi="Garamond"/>
          <w:sz w:val="24"/>
          <w:szCs w:val="24"/>
        </w:rPr>
        <w:t>F</w:t>
      </w:r>
      <w:r w:rsidRPr="00F11923">
        <w:rPr>
          <w:rFonts w:ascii="Garamond" w:hAnsi="Garamond"/>
          <w:sz w:val="24"/>
          <w:szCs w:val="24"/>
        </w:rPr>
        <w:t>oreign</w:t>
      </w:r>
      <w:r>
        <w:rPr>
          <w:rFonts w:ascii="Garamond" w:hAnsi="Garamond"/>
          <w:sz w:val="24"/>
          <w:szCs w:val="24"/>
        </w:rPr>
        <w:t xml:space="preserve"> direct investment (</w:t>
      </w:r>
      <w:r w:rsidRPr="00F11923">
        <w:rPr>
          <w:rFonts w:ascii="Garamond" w:hAnsi="Garamond"/>
          <w:sz w:val="24"/>
          <w:szCs w:val="24"/>
        </w:rPr>
        <w:t>FDI</w:t>
      </w:r>
      <w:r>
        <w:rPr>
          <w:rFonts w:ascii="Garamond" w:hAnsi="Garamond"/>
          <w:sz w:val="24"/>
          <w:szCs w:val="24"/>
        </w:rPr>
        <w:t>)</w:t>
      </w:r>
      <w:r w:rsidRPr="00F11923">
        <w:rPr>
          <w:rFonts w:ascii="Garamond" w:hAnsi="Garamond"/>
          <w:sz w:val="24"/>
          <w:szCs w:val="24"/>
        </w:rPr>
        <w:t xml:space="preserve"> </w:t>
      </w:r>
      <w:r w:rsidR="002C1A4D">
        <w:rPr>
          <w:rFonts w:ascii="Garamond" w:hAnsi="Garamond"/>
          <w:sz w:val="24"/>
          <w:szCs w:val="24"/>
        </w:rPr>
        <w:t xml:space="preserve">is also regulated by the investment Proclamation </w:t>
      </w:r>
      <w:r w:rsidR="002C1A4D" w:rsidRPr="002F0208">
        <w:rPr>
          <w:rFonts w:ascii="Garamond" w:hAnsi="Garamond"/>
          <w:sz w:val="24"/>
          <w:szCs w:val="24"/>
        </w:rPr>
        <w:t xml:space="preserve">No.769/2012. </w:t>
      </w:r>
      <w:r w:rsidR="005D618B" w:rsidRPr="002F0208">
        <w:rPr>
          <w:rFonts w:ascii="Garamond" w:hAnsi="Garamond"/>
          <w:sz w:val="24"/>
          <w:szCs w:val="24"/>
        </w:rPr>
        <w:t>The investment proclamation also identifies priority sectors including light manufacturing</w:t>
      </w:r>
      <w:r w:rsidR="005D618B">
        <w:rPr>
          <w:rFonts w:ascii="Garamond" w:hAnsi="Garamond"/>
          <w:sz w:val="24"/>
          <w:szCs w:val="24"/>
        </w:rPr>
        <w:t xml:space="preserve"> (e.g. textiles, leather, agro-processing,</w:t>
      </w:r>
      <w:r w:rsidR="005D618B" w:rsidRPr="002F0208">
        <w:rPr>
          <w:rFonts w:ascii="Garamond" w:hAnsi="Garamond"/>
          <w:sz w:val="24"/>
          <w:szCs w:val="24"/>
        </w:rPr>
        <w:t xml:space="preserve"> agriculture</w:t>
      </w:r>
      <w:r w:rsidR="005D618B">
        <w:rPr>
          <w:rFonts w:ascii="Garamond" w:hAnsi="Garamond"/>
          <w:sz w:val="24"/>
          <w:szCs w:val="24"/>
        </w:rPr>
        <w:t>, etc.)</w:t>
      </w:r>
      <w:r w:rsidR="005D618B" w:rsidRPr="002F0208">
        <w:rPr>
          <w:rFonts w:ascii="Garamond" w:hAnsi="Garamond"/>
          <w:sz w:val="24"/>
          <w:szCs w:val="24"/>
        </w:rPr>
        <w:t xml:space="preserve">. </w:t>
      </w:r>
      <w:r w:rsidR="002F0208" w:rsidRPr="002F0208">
        <w:rPr>
          <w:rFonts w:ascii="Garamond" w:hAnsi="Garamond"/>
          <w:sz w:val="24"/>
          <w:szCs w:val="24"/>
        </w:rPr>
        <w:t xml:space="preserve">Foreign investors who wish to invest in the priority sectors are also entitled to get incentives as indicated in the proclamation. </w:t>
      </w:r>
      <w:r w:rsidR="002F0208">
        <w:rPr>
          <w:rFonts w:ascii="Garamond" w:hAnsi="Garamond"/>
          <w:sz w:val="24"/>
          <w:szCs w:val="24"/>
        </w:rPr>
        <w:t xml:space="preserve">These incentives include export promotion (e.g. zero tax on exports, duty drawback scheme and bonded warehouse), investment tax incentives (e.g. tax holidays and duty free import of capital goods), and non-tax incentives (e.g. foreign exchange retention and export guarantee). </w:t>
      </w:r>
    </w:p>
    <w:p w:rsidR="00B31252" w:rsidRDefault="00B850EE" w:rsidP="00B31252">
      <w:pPr>
        <w:autoSpaceDE w:val="0"/>
        <w:autoSpaceDN w:val="0"/>
        <w:adjustRightInd w:val="0"/>
        <w:spacing w:after="0" w:line="240" w:lineRule="auto"/>
        <w:jc w:val="both"/>
        <w:rPr>
          <w:rFonts w:ascii="Garamond" w:hAnsi="Garamond"/>
          <w:sz w:val="24"/>
          <w:szCs w:val="24"/>
        </w:rPr>
      </w:pPr>
      <w:r w:rsidRPr="00B850EE">
        <w:rPr>
          <w:rFonts w:ascii="Garamond" w:hAnsi="Garamond"/>
          <w:sz w:val="24"/>
          <w:szCs w:val="24"/>
        </w:rPr>
        <w:t xml:space="preserve">The various incentives mechanisms seem to have stimulated FDI flow to </w:t>
      </w:r>
      <w:r w:rsidR="002C1A4D" w:rsidRPr="00B850EE">
        <w:rPr>
          <w:rFonts w:ascii="Garamond" w:hAnsi="Garamond"/>
          <w:sz w:val="24"/>
          <w:szCs w:val="24"/>
        </w:rPr>
        <w:t>E</w:t>
      </w:r>
      <w:r w:rsidR="00B31252">
        <w:rPr>
          <w:rFonts w:ascii="Garamond" w:hAnsi="Garamond"/>
          <w:sz w:val="24"/>
          <w:szCs w:val="24"/>
        </w:rPr>
        <w:t xml:space="preserve">thiopia </w:t>
      </w:r>
      <w:r>
        <w:rPr>
          <w:rFonts w:ascii="Garamond" w:hAnsi="Garamond"/>
          <w:sz w:val="24"/>
          <w:szCs w:val="24"/>
        </w:rPr>
        <w:t xml:space="preserve">which has </w:t>
      </w:r>
      <w:r w:rsidR="00B31252">
        <w:rPr>
          <w:rFonts w:ascii="Garamond" w:hAnsi="Garamond"/>
          <w:sz w:val="24"/>
          <w:szCs w:val="24"/>
        </w:rPr>
        <w:t xml:space="preserve">increased </w:t>
      </w:r>
      <w:r w:rsidR="00B31252" w:rsidRPr="00F11923">
        <w:rPr>
          <w:rFonts w:ascii="Garamond" w:hAnsi="Garamond"/>
          <w:sz w:val="24"/>
          <w:szCs w:val="24"/>
        </w:rPr>
        <w:t xml:space="preserve">sharply in the last 15 years from less than </w:t>
      </w:r>
      <w:r w:rsidR="00B31252">
        <w:rPr>
          <w:rFonts w:ascii="Garamond" w:hAnsi="Garamond"/>
          <w:sz w:val="24"/>
          <w:szCs w:val="24"/>
        </w:rPr>
        <w:t xml:space="preserve">one </w:t>
      </w:r>
      <w:r w:rsidR="00B31252" w:rsidRPr="00F11923">
        <w:rPr>
          <w:rFonts w:ascii="Garamond" w:hAnsi="Garamond"/>
          <w:sz w:val="24"/>
          <w:szCs w:val="24"/>
        </w:rPr>
        <w:t xml:space="preserve">billion </w:t>
      </w:r>
      <w:r w:rsidR="00B31252">
        <w:rPr>
          <w:rFonts w:ascii="Garamond" w:hAnsi="Garamond"/>
          <w:sz w:val="24"/>
          <w:szCs w:val="24"/>
        </w:rPr>
        <w:t xml:space="preserve">birr </w:t>
      </w:r>
      <w:r w:rsidR="00B31252" w:rsidRPr="00F11923">
        <w:rPr>
          <w:rFonts w:ascii="Garamond" w:hAnsi="Garamond"/>
          <w:sz w:val="24"/>
          <w:szCs w:val="24"/>
        </w:rPr>
        <w:t xml:space="preserve">in 2000 to over </w:t>
      </w:r>
      <w:r w:rsidR="00B31252">
        <w:rPr>
          <w:rFonts w:ascii="Garamond" w:hAnsi="Garamond"/>
          <w:sz w:val="24"/>
          <w:szCs w:val="24"/>
        </w:rPr>
        <w:t>ETB 55</w:t>
      </w:r>
      <w:r w:rsidR="00B31252" w:rsidRPr="00F11923">
        <w:rPr>
          <w:rFonts w:ascii="Garamond" w:hAnsi="Garamond"/>
          <w:sz w:val="24"/>
          <w:szCs w:val="24"/>
        </w:rPr>
        <w:t xml:space="preserve"> billion in 201</w:t>
      </w:r>
      <w:r w:rsidR="00B31252">
        <w:rPr>
          <w:rFonts w:ascii="Garamond" w:hAnsi="Garamond"/>
          <w:sz w:val="24"/>
          <w:szCs w:val="24"/>
        </w:rPr>
        <w:t>5</w:t>
      </w:r>
      <w:r w:rsidR="00B31252" w:rsidRPr="00F11923">
        <w:rPr>
          <w:rFonts w:ascii="Garamond" w:hAnsi="Garamond"/>
          <w:sz w:val="24"/>
          <w:szCs w:val="24"/>
        </w:rPr>
        <w:t>.</w:t>
      </w:r>
      <w:r w:rsidR="00B31252">
        <w:rPr>
          <w:rFonts w:ascii="Garamond" w:hAnsi="Garamond"/>
          <w:sz w:val="24"/>
          <w:szCs w:val="24"/>
        </w:rPr>
        <w:t xml:space="preserve"> FDI grew on average by about 29 percent per year between 2000 and 2015. Of the total FDI, wholly foreign origin accounted for about two-third of total FDI, while joint venture accounted for the rest. However, FDI flows lack diversification across country of origin, with China, India, Turkey and others from Middle East account for a large proportion of FDI in Ethiopia. </w:t>
      </w:r>
    </w:p>
    <w:p w:rsidR="00313D7F" w:rsidRDefault="00313D7F" w:rsidP="00B31252">
      <w:pPr>
        <w:autoSpaceDE w:val="0"/>
        <w:autoSpaceDN w:val="0"/>
        <w:adjustRightInd w:val="0"/>
        <w:spacing w:after="0" w:line="240" w:lineRule="auto"/>
        <w:jc w:val="both"/>
        <w:rPr>
          <w:rFonts w:ascii="Garamond" w:hAnsi="Garamond"/>
          <w:sz w:val="24"/>
          <w:szCs w:val="24"/>
        </w:rPr>
      </w:pPr>
    </w:p>
    <w:p w:rsidR="00313D7F" w:rsidRDefault="00313D7F" w:rsidP="00B31252">
      <w:pPr>
        <w:autoSpaceDE w:val="0"/>
        <w:autoSpaceDN w:val="0"/>
        <w:adjustRightInd w:val="0"/>
        <w:spacing w:after="0" w:line="240" w:lineRule="auto"/>
        <w:jc w:val="both"/>
        <w:rPr>
          <w:rFonts w:ascii="Garamond" w:hAnsi="Garamond"/>
          <w:sz w:val="24"/>
          <w:szCs w:val="24"/>
        </w:rPr>
      </w:pPr>
    </w:p>
    <w:p w:rsidR="00051FC4" w:rsidRDefault="00051FC4" w:rsidP="00B31252">
      <w:pPr>
        <w:autoSpaceDE w:val="0"/>
        <w:autoSpaceDN w:val="0"/>
        <w:adjustRightInd w:val="0"/>
        <w:spacing w:after="0" w:line="240" w:lineRule="auto"/>
        <w:jc w:val="both"/>
        <w:rPr>
          <w:rFonts w:ascii="Garamond" w:hAnsi="Garamond"/>
          <w:sz w:val="24"/>
          <w:szCs w:val="24"/>
        </w:rPr>
      </w:pPr>
    </w:p>
    <w:p w:rsidR="00051FC4" w:rsidRDefault="00051FC4" w:rsidP="00B31252">
      <w:pPr>
        <w:autoSpaceDE w:val="0"/>
        <w:autoSpaceDN w:val="0"/>
        <w:adjustRightInd w:val="0"/>
        <w:spacing w:after="0" w:line="240" w:lineRule="auto"/>
        <w:jc w:val="both"/>
        <w:rPr>
          <w:rFonts w:ascii="Garamond" w:hAnsi="Garamond"/>
          <w:sz w:val="24"/>
          <w:szCs w:val="24"/>
        </w:rPr>
      </w:pPr>
    </w:p>
    <w:p w:rsidR="00B31252" w:rsidRPr="00075FD8" w:rsidRDefault="00B31252" w:rsidP="00B31252">
      <w:pPr>
        <w:pStyle w:val="Caption"/>
        <w:spacing w:after="0"/>
        <w:rPr>
          <w:rFonts w:ascii="Garamond" w:hAnsi="Garamond"/>
          <w:sz w:val="22"/>
          <w:szCs w:val="22"/>
        </w:rPr>
      </w:pPr>
      <w:bookmarkStart w:id="86" w:name="_Toc486585964"/>
      <w:r w:rsidRPr="00075FD8">
        <w:rPr>
          <w:rFonts w:ascii="Garamond" w:hAnsi="Garamond"/>
          <w:sz w:val="22"/>
          <w:szCs w:val="22"/>
        </w:rPr>
        <w:t xml:space="preserve">Figure </w:t>
      </w:r>
      <w:r w:rsidR="00BF3BBC" w:rsidRPr="00075FD8">
        <w:rPr>
          <w:rFonts w:ascii="Garamond" w:hAnsi="Garamond"/>
          <w:sz w:val="22"/>
          <w:szCs w:val="22"/>
        </w:rPr>
        <w:fldChar w:fldCharType="begin"/>
      </w:r>
      <w:r w:rsidRPr="00075FD8">
        <w:rPr>
          <w:rFonts w:ascii="Garamond" w:hAnsi="Garamond"/>
          <w:sz w:val="22"/>
          <w:szCs w:val="22"/>
        </w:rPr>
        <w:instrText xml:space="preserve"> SEQ Figure \* ARABIC </w:instrText>
      </w:r>
      <w:r w:rsidR="00BF3BBC" w:rsidRPr="00075FD8">
        <w:rPr>
          <w:rFonts w:ascii="Garamond" w:hAnsi="Garamond"/>
          <w:sz w:val="22"/>
          <w:szCs w:val="22"/>
        </w:rPr>
        <w:fldChar w:fldCharType="separate"/>
      </w:r>
      <w:r w:rsidR="006C24A4">
        <w:rPr>
          <w:rFonts w:ascii="Garamond" w:hAnsi="Garamond"/>
          <w:noProof/>
          <w:sz w:val="22"/>
          <w:szCs w:val="22"/>
        </w:rPr>
        <w:t>29</w:t>
      </w:r>
      <w:r w:rsidR="00BF3BBC" w:rsidRPr="00075FD8">
        <w:rPr>
          <w:rFonts w:ascii="Garamond" w:hAnsi="Garamond"/>
          <w:sz w:val="22"/>
          <w:szCs w:val="22"/>
        </w:rPr>
        <w:fldChar w:fldCharType="end"/>
      </w:r>
      <w:r w:rsidRPr="00075FD8">
        <w:rPr>
          <w:rFonts w:ascii="Garamond" w:hAnsi="Garamond"/>
          <w:sz w:val="22"/>
          <w:szCs w:val="22"/>
        </w:rPr>
        <w:t>: Foreign direct investment (in billion ETB)</w:t>
      </w:r>
      <w:bookmarkEnd w:id="86"/>
    </w:p>
    <w:p w:rsidR="00B31252" w:rsidRDefault="00B31252" w:rsidP="00B31252">
      <w:pPr>
        <w:autoSpaceDE w:val="0"/>
        <w:autoSpaceDN w:val="0"/>
        <w:adjustRightInd w:val="0"/>
        <w:spacing w:after="0" w:line="240" w:lineRule="auto"/>
        <w:jc w:val="both"/>
        <w:rPr>
          <w:rFonts w:ascii="Garamond" w:hAnsi="Garamond"/>
          <w:sz w:val="24"/>
          <w:szCs w:val="24"/>
        </w:rPr>
      </w:pPr>
      <w:r>
        <w:rPr>
          <w:noProof/>
        </w:rPr>
        <w:drawing>
          <wp:inline distT="0" distB="0" distL="0" distR="0">
            <wp:extent cx="5949950" cy="1491343"/>
            <wp:effectExtent l="0" t="0" r="12700" b="1397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31252" w:rsidRPr="00E016A0" w:rsidRDefault="00B31252" w:rsidP="00B31252">
      <w:pPr>
        <w:autoSpaceDE w:val="0"/>
        <w:autoSpaceDN w:val="0"/>
        <w:adjustRightInd w:val="0"/>
        <w:spacing w:after="0" w:line="240" w:lineRule="auto"/>
        <w:jc w:val="both"/>
        <w:rPr>
          <w:rFonts w:ascii="Garamond" w:hAnsi="Garamond"/>
        </w:rPr>
      </w:pPr>
      <w:r w:rsidRPr="00E016A0">
        <w:rPr>
          <w:rFonts w:ascii="Garamond" w:hAnsi="Garamond"/>
        </w:rPr>
        <w:t xml:space="preserve">Source: Ethiopian Investment Commission </w:t>
      </w:r>
    </w:p>
    <w:p w:rsidR="00B31252" w:rsidRPr="00F11923" w:rsidRDefault="00B31252" w:rsidP="00B31252">
      <w:pPr>
        <w:autoSpaceDE w:val="0"/>
        <w:autoSpaceDN w:val="0"/>
        <w:adjustRightInd w:val="0"/>
        <w:spacing w:after="0" w:line="240" w:lineRule="auto"/>
        <w:jc w:val="both"/>
        <w:rPr>
          <w:rFonts w:ascii="Garamond" w:hAnsi="Garamond"/>
          <w:sz w:val="24"/>
          <w:szCs w:val="24"/>
        </w:rPr>
      </w:pPr>
    </w:p>
    <w:p w:rsidR="00B31252" w:rsidRDefault="00B31252" w:rsidP="00B31252">
      <w:pPr>
        <w:spacing w:after="0" w:line="240" w:lineRule="auto"/>
        <w:jc w:val="both"/>
        <w:rPr>
          <w:rFonts w:ascii="Garamond" w:hAnsi="Garamond"/>
          <w:sz w:val="24"/>
          <w:szCs w:val="24"/>
        </w:rPr>
      </w:pPr>
      <w:r>
        <w:rPr>
          <w:rFonts w:ascii="Garamond" w:hAnsi="Garamond"/>
          <w:sz w:val="24"/>
          <w:szCs w:val="24"/>
        </w:rPr>
        <w:t>Creating an enabling business environment in terms of s</w:t>
      </w:r>
      <w:r w:rsidRPr="000B59D1">
        <w:rPr>
          <w:rFonts w:ascii="Garamond" w:hAnsi="Garamond"/>
          <w:sz w:val="24"/>
          <w:szCs w:val="24"/>
        </w:rPr>
        <w:t>table and transparent regulatory systems, good investment</w:t>
      </w:r>
      <w:r>
        <w:rPr>
          <w:rFonts w:ascii="Garamond" w:hAnsi="Garamond"/>
          <w:sz w:val="24"/>
          <w:szCs w:val="24"/>
        </w:rPr>
        <w:t xml:space="preserve"> climate and sound macro-</w:t>
      </w:r>
      <w:r w:rsidRPr="000B59D1">
        <w:rPr>
          <w:rFonts w:ascii="Garamond" w:hAnsi="Garamond"/>
          <w:sz w:val="24"/>
          <w:szCs w:val="24"/>
        </w:rPr>
        <w:t xml:space="preserve">economic and financial policies are </w:t>
      </w:r>
      <w:r>
        <w:rPr>
          <w:rFonts w:ascii="Garamond" w:hAnsi="Garamond"/>
          <w:sz w:val="24"/>
          <w:szCs w:val="24"/>
        </w:rPr>
        <w:t>essential to attract FDI and improve diversification through targeted interventions to enhance quality FDI. T</w:t>
      </w:r>
      <w:r w:rsidRPr="000B59D1">
        <w:rPr>
          <w:rFonts w:ascii="Garamond" w:hAnsi="Garamond"/>
          <w:sz w:val="24"/>
          <w:szCs w:val="24"/>
        </w:rPr>
        <w:t xml:space="preserve">he World Bank Ease of Doing Business Index </w:t>
      </w:r>
      <w:r>
        <w:rPr>
          <w:rFonts w:ascii="Garamond" w:hAnsi="Garamond"/>
          <w:sz w:val="24"/>
          <w:szCs w:val="24"/>
        </w:rPr>
        <w:t xml:space="preserve">can be used </w:t>
      </w:r>
      <w:r w:rsidRPr="000B59D1">
        <w:rPr>
          <w:rFonts w:ascii="Garamond" w:hAnsi="Garamond"/>
          <w:sz w:val="24"/>
          <w:szCs w:val="24"/>
        </w:rPr>
        <w:t xml:space="preserve">to judge a country’s investment climate </w:t>
      </w:r>
      <w:r>
        <w:rPr>
          <w:rFonts w:ascii="Garamond" w:hAnsi="Garamond"/>
          <w:sz w:val="24"/>
          <w:szCs w:val="24"/>
        </w:rPr>
        <w:t xml:space="preserve">situation. Ethiopia ranked 146 out of 189 in 2016 on ease of doing business in 2016 and its score is slightly above the regional average but lower than other African countries such as Kenya, Rwanda, Uganda and Egypt. In 2017, Ethiopia’s rank in ease of doing business deteriorated: it ranked 159 out of 190 countries (World Bank, 2017). Ethiopia also lags behind in some specific ease of doing business indicators such as starting a business and getting credit, which the country ranked </w:t>
      </w:r>
      <w:r w:rsidRPr="0065254B">
        <w:rPr>
          <w:rFonts w:ascii="Garamond" w:hAnsi="Garamond"/>
          <w:sz w:val="24"/>
          <w:szCs w:val="24"/>
        </w:rPr>
        <w:t>176 and 167 out of 189</w:t>
      </w:r>
      <w:r>
        <w:rPr>
          <w:rFonts w:ascii="Garamond" w:hAnsi="Garamond"/>
          <w:sz w:val="24"/>
          <w:szCs w:val="24"/>
        </w:rPr>
        <w:t xml:space="preserve">, respectively, which is far below </w:t>
      </w:r>
      <w:r w:rsidRPr="0065254B">
        <w:rPr>
          <w:rFonts w:ascii="Garamond" w:hAnsi="Garamond"/>
          <w:sz w:val="24"/>
          <w:szCs w:val="24"/>
        </w:rPr>
        <w:t xml:space="preserve">the SSA average ranking and </w:t>
      </w:r>
      <w:r>
        <w:rPr>
          <w:rFonts w:ascii="Garamond" w:hAnsi="Garamond"/>
          <w:sz w:val="24"/>
          <w:szCs w:val="24"/>
        </w:rPr>
        <w:t xml:space="preserve">other </w:t>
      </w:r>
      <w:r w:rsidRPr="0065254B">
        <w:rPr>
          <w:rFonts w:ascii="Garamond" w:hAnsi="Garamond"/>
          <w:sz w:val="24"/>
          <w:szCs w:val="24"/>
        </w:rPr>
        <w:t>well-performing peers such as Rwanda (World Bank, 2017). Firms that are credit constrained exhibit poorer performance</w:t>
      </w:r>
      <w:r>
        <w:rPr>
          <w:rFonts w:ascii="Garamond" w:hAnsi="Garamond"/>
          <w:sz w:val="24"/>
          <w:szCs w:val="24"/>
        </w:rPr>
        <w:t xml:space="preserve">, </w:t>
      </w:r>
      <w:r w:rsidRPr="0065254B">
        <w:rPr>
          <w:rFonts w:ascii="Garamond" w:hAnsi="Garamond"/>
          <w:sz w:val="24"/>
          <w:szCs w:val="24"/>
        </w:rPr>
        <w:t>productivity</w:t>
      </w:r>
      <w:r>
        <w:rPr>
          <w:rFonts w:ascii="Garamond" w:hAnsi="Garamond"/>
          <w:sz w:val="24"/>
          <w:szCs w:val="24"/>
        </w:rPr>
        <w:t xml:space="preserve"> and competitiveness</w:t>
      </w:r>
      <w:r w:rsidRPr="0065254B">
        <w:rPr>
          <w:rFonts w:ascii="Garamond" w:hAnsi="Garamond"/>
          <w:sz w:val="24"/>
          <w:szCs w:val="24"/>
        </w:rPr>
        <w:t xml:space="preserve">. </w:t>
      </w:r>
    </w:p>
    <w:p w:rsidR="00B31252" w:rsidRPr="00075FD8" w:rsidRDefault="00B31252" w:rsidP="00B31252">
      <w:pPr>
        <w:pStyle w:val="Caption"/>
        <w:spacing w:after="0"/>
        <w:rPr>
          <w:rFonts w:ascii="Garamond" w:hAnsi="Garamond"/>
          <w:sz w:val="22"/>
          <w:szCs w:val="22"/>
        </w:rPr>
      </w:pPr>
      <w:bookmarkStart w:id="87" w:name="_Toc486585965"/>
      <w:r w:rsidRPr="00075FD8">
        <w:rPr>
          <w:rFonts w:ascii="Garamond" w:hAnsi="Garamond"/>
          <w:sz w:val="22"/>
          <w:szCs w:val="22"/>
        </w:rPr>
        <w:t xml:space="preserve">Figure </w:t>
      </w:r>
      <w:r w:rsidR="00BF3BBC" w:rsidRPr="00075FD8">
        <w:rPr>
          <w:rFonts w:ascii="Garamond" w:hAnsi="Garamond"/>
          <w:sz w:val="22"/>
          <w:szCs w:val="22"/>
        </w:rPr>
        <w:fldChar w:fldCharType="begin"/>
      </w:r>
      <w:r w:rsidRPr="00075FD8">
        <w:rPr>
          <w:rFonts w:ascii="Garamond" w:hAnsi="Garamond"/>
          <w:sz w:val="22"/>
          <w:szCs w:val="22"/>
        </w:rPr>
        <w:instrText xml:space="preserve"> SEQ Figure \* ARABIC </w:instrText>
      </w:r>
      <w:r w:rsidR="00BF3BBC" w:rsidRPr="00075FD8">
        <w:rPr>
          <w:rFonts w:ascii="Garamond" w:hAnsi="Garamond"/>
          <w:sz w:val="22"/>
          <w:szCs w:val="22"/>
        </w:rPr>
        <w:fldChar w:fldCharType="separate"/>
      </w:r>
      <w:r w:rsidR="006C24A4">
        <w:rPr>
          <w:rFonts w:ascii="Garamond" w:hAnsi="Garamond"/>
          <w:noProof/>
          <w:sz w:val="22"/>
          <w:szCs w:val="22"/>
        </w:rPr>
        <w:t>30</w:t>
      </w:r>
      <w:r w:rsidR="00BF3BBC" w:rsidRPr="00075FD8">
        <w:rPr>
          <w:rFonts w:ascii="Garamond" w:hAnsi="Garamond"/>
          <w:sz w:val="22"/>
          <w:szCs w:val="22"/>
        </w:rPr>
        <w:fldChar w:fldCharType="end"/>
      </w:r>
      <w:r w:rsidRPr="00075FD8">
        <w:rPr>
          <w:rFonts w:ascii="Garamond" w:hAnsi="Garamond"/>
          <w:sz w:val="22"/>
          <w:szCs w:val="22"/>
        </w:rPr>
        <w:t>: Ethiopia’s rankings on Doing Business topics, 2016</w:t>
      </w:r>
      <w:bookmarkEnd w:id="87"/>
      <w:r w:rsidRPr="00075FD8">
        <w:rPr>
          <w:rFonts w:ascii="Garamond" w:hAnsi="Garamond"/>
          <w:sz w:val="22"/>
          <w:szCs w:val="22"/>
        </w:rPr>
        <w:t xml:space="preserve"> </w:t>
      </w:r>
    </w:p>
    <w:p w:rsidR="00B31252" w:rsidRPr="001970F1" w:rsidRDefault="00B31252" w:rsidP="00B31252">
      <w:pPr>
        <w:autoSpaceDE w:val="0"/>
        <w:autoSpaceDN w:val="0"/>
        <w:adjustRightInd w:val="0"/>
        <w:spacing w:after="0" w:line="240" w:lineRule="auto"/>
        <w:jc w:val="both"/>
        <w:rPr>
          <w:rFonts w:ascii="Garamond" w:hAnsi="Garamond"/>
          <w:i/>
          <w:sz w:val="24"/>
          <w:szCs w:val="24"/>
        </w:rPr>
      </w:pPr>
      <w:r w:rsidRPr="001970F1">
        <w:rPr>
          <w:i/>
          <w:noProof/>
        </w:rPr>
        <w:drawing>
          <wp:inline distT="0" distB="0" distL="0" distR="0">
            <wp:extent cx="5394981" cy="1955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5408236" cy="1960605"/>
                    </a:xfrm>
                    <a:prstGeom prst="rect">
                      <a:avLst/>
                    </a:prstGeom>
                  </pic:spPr>
                </pic:pic>
              </a:graphicData>
            </a:graphic>
          </wp:inline>
        </w:drawing>
      </w:r>
    </w:p>
    <w:p w:rsidR="00B31252" w:rsidRDefault="00B31252" w:rsidP="00B31252">
      <w:pPr>
        <w:autoSpaceDE w:val="0"/>
        <w:autoSpaceDN w:val="0"/>
        <w:adjustRightInd w:val="0"/>
        <w:spacing w:after="0" w:line="240" w:lineRule="auto"/>
        <w:jc w:val="both"/>
        <w:rPr>
          <w:rFonts w:ascii="Garamond" w:hAnsi="Garamond"/>
        </w:rPr>
      </w:pPr>
      <w:r w:rsidRPr="007F7E02">
        <w:rPr>
          <w:rFonts w:ascii="Garamond" w:hAnsi="Garamond"/>
        </w:rPr>
        <w:t>Source: World Bank (201</w:t>
      </w:r>
      <w:r>
        <w:rPr>
          <w:rFonts w:ascii="Garamond" w:hAnsi="Garamond"/>
        </w:rPr>
        <w:t>7</w:t>
      </w:r>
      <w:r w:rsidRPr="007F7E02">
        <w:rPr>
          <w:rFonts w:ascii="Garamond" w:hAnsi="Garamond"/>
        </w:rPr>
        <w:t>)</w:t>
      </w:r>
    </w:p>
    <w:p w:rsidR="00EF46F9" w:rsidRDefault="00B31252" w:rsidP="00B31252">
      <w:pPr>
        <w:autoSpaceDE w:val="0"/>
        <w:autoSpaceDN w:val="0"/>
        <w:adjustRightInd w:val="0"/>
        <w:spacing w:after="0" w:line="240" w:lineRule="auto"/>
        <w:jc w:val="both"/>
        <w:rPr>
          <w:rFonts w:ascii="Garamond" w:hAnsi="Garamond"/>
          <w:sz w:val="24"/>
          <w:szCs w:val="24"/>
          <w:lang w:val="en-GB"/>
        </w:rPr>
      </w:pPr>
      <w:r>
        <w:rPr>
          <w:rFonts w:ascii="Garamond" w:hAnsi="Garamond"/>
          <w:sz w:val="24"/>
          <w:szCs w:val="24"/>
        </w:rPr>
        <w:t>The Ethiopian government sets a target of improving logistics services to enhance competitiveness from 104</w:t>
      </w:r>
      <w:r w:rsidRPr="0071648F">
        <w:rPr>
          <w:rFonts w:ascii="Garamond" w:hAnsi="Garamond"/>
          <w:sz w:val="24"/>
          <w:szCs w:val="24"/>
          <w:vertAlign w:val="superscript"/>
        </w:rPr>
        <w:t>th</w:t>
      </w:r>
      <w:r>
        <w:rPr>
          <w:rFonts w:ascii="Garamond" w:hAnsi="Garamond"/>
          <w:sz w:val="24"/>
          <w:szCs w:val="24"/>
        </w:rPr>
        <w:t xml:space="preserve"> in 2014 to 57</w:t>
      </w:r>
      <w:r w:rsidRPr="0071648F">
        <w:rPr>
          <w:rFonts w:ascii="Garamond" w:hAnsi="Garamond"/>
          <w:sz w:val="24"/>
          <w:szCs w:val="24"/>
          <w:vertAlign w:val="superscript"/>
        </w:rPr>
        <w:t>th</w:t>
      </w:r>
      <w:r>
        <w:rPr>
          <w:rFonts w:ascii="Garamond" w:hAnsi="Garamond"/>
          <w:sz w:val="24"/>
          <w:szCs w:val="24"/>
        </w:rPr>
        <w:t xml:space="preserve"> by the end of plan period. However, the early signs are not encouraging. The country performs badly in t</w:t>
      </w:r>
      <w:r w:rsidRPr="0071455B">
        <w:rPr>
          <w:rFonts w:ascii="Garamond" w:hAnsi="Garamond"/>
          <w:sz w:val="24"/>
          <w:szCs w:val="24"/>
        </w:rPr>
        <w:t>he World Bank’s Logistic</w:t>
      </w:r>
      <w:r>
        <w:rPr>
          <w:rFonts w:ascii="Garamond" w:hAnsi="Garamond"/>
          <w:sz w:val="24"/>
          <w:szCs w:val="24"/>
        </w:rPr>
        <w:t>s</w:t>
      </w:r>
      <w:r w:rsidRPr="0071455B">
        <w:rPr>
          <w:rFonts w:ascii="Garamond" w:hAnsi="Garamond"/>
          <w:sz w:val="24"/>
          <w:szCs w:val="24"/>
        </w:rPr>
        <w:t xml:space="preserve"> Performance Index </w:t>
      </w:r>
      <w:r>
        <w:rPr>
          <w:rFonts w:ascii="Garamond" w:hAnsi="Garamond"/>
          <w:sz w:val="24"/>
          <w:szCs w:val="24"/>
        </w:rPr>
        <w:t>(LPI): it</w:t>
      </w:r>
      <w:r w:rsidRPr="0071455B">
        <w:rPr>
          <w:rFonts w:ascii="Garamond" w:hAnsi="Garamond"/>
          <w:sz w:val="24"/>
          <w:szCs w:val="24"/>
        </w:rPr>
        <w:t>s overall rank in LPI deteriorated from 1</w:t>
      </w:r>
      <w:r>
        <w:rPr>
          <w:rFonts w:ascii="Garamond" w:hAnsi="Garamond"/>
          <w:sz w:val="24"/>
          <w:szCs w:val="24"/>
        </w:rPr>
        <w:t>04</w:t>
      </w:r>
      <w:r w:rsidRPr="0071455B">
        <w:rPr>
          <w:rFonts w:ascii="Garamond" w:hAnsi="Garamond"/>
          <w:sz w:val="24"/>
          <w:szCs w:val="24"/>
          <w:vertAlign w:val="superscript"/>
        </w:rPr>
        <w:t>th</w:t>
      </w:r>
      <w:r w:rsidRPr="0071455B">
        <w:rPr>
          <w:rFonts w:ascii="Garamond" w:hAnsi="Garamond"/>
          <w:sz w:val="24"/>
          <w:szCs w:val="24"/>
        </w:rPr>
        <w:t xml:space="preserve"> in 201</w:t>
      </w:r>
      <w:r>
        <w:rPr>
          <w:rFonts w:ascii="Garamond" w:hAnsi="Garamond"/>
          <w:sz w:val="24"/>
          <w:szCs w:val="24"/>
        </w:rPr>
        <w:t>4</w:t>
      </w:r>
      <w:r w:rsidRPr="0071455B">
        <w:rPr>
          <w:rFonts w:ascii="Garamond" w:hAnsi="Garamond"/>
          <w:sz w:val="24"/>
          <w:szCs w:val="24"/>
        </w:rPr>
        <w:t xml:space="preserve"> to 1</w:t>
      </w:r>
      <w:r>
        <w:rPr>
          <w:rFonts w:ascii="Garamond" w:hAnsi="Garamond"/>
          <w:sz w:val="24"/>
          <w:szCs w:val="24"/>
        </w:rPr>
        <w:t>26</w:t>
      </w:r>
      <w:r w:rsidRPr="0071455B">
        <w:rPr>
          <w:rFonts w:ascii="Garamond" w:hAnsi="Garamond"/>
          <w:sz w:val="24"/>
          <w:szCs w:val="24"/>
          <w:vertAlign w:val="superscript"/>
        </w:rPr>
        <w:t>th</w:t>
      </w:r>
      <w:r w:rsidRPr="0071455B">
        <w:rPr>
          <w:rFonts w:ascii="Garamond" w:hAnsi="Garamond"/>
          <w:sz w:val="24"/>
          <w:szCs w:val="24"/>
        </w:rPr>
        <w:t xml:space="preserve"> in 201</w:t>
      </w:r>
      <w:r>
        <w:rPr>
          <w:rFonts w:ascii="Garamond" w:hAnsi="Garamond"/>
          <w:sz w:val="24"/>
          <w:szCs w:val="24"/>
        </w:rPr>
        <w:t xml:space="preserve">6. </w:t>
      </w:r>
      <w:r w:rsidRPr="008973A2">
        <w:rPr>
          <w:rFonts w:ascii="Garamond" w:hAnsi="Garamond"/>
          <w:sz w:val="24"/>
          <w:szCs w:val="24"/>
          <w:lang w:val="en-GB"/>
        </w:rPr>
        <w:t xml:space="preserve">High logistics costs reduce the competitiveness of Ethiopian goods and services compared with its competitors. In particular, the country lags behind in </w:t>
      </w:r>
      <w:r>
        <w:rPr>
          <w:rFonts w:ascii="Garamond" w:hAnsi="Garamond"/>
          <w:sz w:val="24"/>
          <w:szCs w:val="24"/>
          <w:lang w:val="en-GB"/>
        </w:rPr>
        <w:t xml:space="preserve">simplifying </w:t>
      </w:r>
      <w:r w:rsidRPr="008973A2">
        <w:rPr>
          <w:rFonts w:ascii="Garamond" w:hAnsi="Garamond"/>
          <w:sz w:val="24"/>
          <w:szCs w:val="24"/>
          <w:lang w:val="en-GB"/>
        </w:rPr>
        <w:t>customs</w:t>
      </w:r>
      <w:r>
        <w:rPr>
          <w:rFonts w:ascii="Garamond" w:hAnsi="Garamond"/>
          <w:sz w:val="24"/>
          <w:szCs w:val="24"/>
          <w:lang w:val="en-GB"/>
        </w:rPr>
        <w:t xml:space="preserve"> procedures</w:t>
      </w:r>
      <w:r w:rsidRPr="008973A2">
        <w:rPr>
          <w:rFonts w:ascii="Garamond" w:hAnsi="Garamond"/>
          <w:sz w:val="24"/>
          <w:szCs w:val="24"/>
          <w:lang w:val="en-GB"/>
        </w:rPr>
        <w:t xml:space="preserve">, logistics competence, and tracking and tracing. </w:t>
      </w:r>
      <w:r w:rsidRPr="005337F7">
        <w:rPr>
          <w:rFonts w:ascii="Garamond" w:hAnsi="Garamond"/>
          <w:sz w:val="24"/>
          <w:szCs w:val="24"/>
          <w:lang w:val="en-GB"/>
        </w:rPr>
        <w:t xml:space="preserve">Poor trade logistics </w:t>
      </w:r>
      <w:r>
        <w:rPr>
          <w:rFonts w:ascii="Garamond" w:hAnsi="Garamond"/>
          <w:sz w:val="24"/>
          <w:szCs w:val="24"/>
          <w:lang w:val="en-GB"/>
        </w:rPr>
        <w:t xml:space="preserve">tends to </w:t>
      </w:r>
      <w:r w:rsidRPr="005337F7">
        <w:rPr>
          <w:rFonts w:ascii="Garamond" w:hAnsi="Garamond"/>
          <w:sz w:val="24"/>
          <w:szCs w:val="24"/>
          <w:lang w:val="en-GB"/>
        </w:rPr>
        <w:t>erode</w:t>
      </w:r>
      <w:r>
        <w:rPr>
          <w:rFonts w:ascii="Garamond" w:hAnsi="Garamond"/>
          <w:sz w:val="24"/>
          <w:szCs w:val="24"/>
          <w:lang w:val="en-GB"/>
        </w:rPr>
        <w:t xml:space="preserve"> the </w:t>
      </w:r>
      <w:r w:rsidRPr="005337F7">
        <w:rPr>
          <w:rFonts w:ascii="Garamond" w:hAnsi="Garamond"/>
          <w:sz w:val="24"/>
          <w:szCs w:val="24"/>
          <w:lang w:val="en-GB"/>
        </w:rPr>
        <w:t>benefits of lower labour cost</w:t>
      </w:r>
      <w:r>
        <w:rPr>
          <w:rFonts w:ascii="Garamond" w:hAnsi="Garamond"/>
          <w:sz w:val="24"/>
          <w:szCs w:val="24"/>
          <w:lang w:val="en-GB"/>
        </w:rPr>
        <w:t xml:space="preserve"> and increases transaction costs, thereby adversely affecting </w:t>
      </w:r>
      <w:r w:rsidRPr="00F83AB1">
        <w:rPr>
          <w:rFonts w:ascii="Garamond" w:hAnsi="Garamond"/>
          <w:sz w:val="24"/>
          <w:szCs w:val="24"/>
        </w:rPr>
        <w:t>competitiveness of private ﬁrms</w:t>
      </w:r>
      <w:r>
        <w:rPr>
          <w:rFonts w:ascii="Garamond" w:hAnsi="Garamond"/>
          <w:sz w:val="24"/>
          <w:szCs w:val="24"/>
          <w:lang w:val="en-GB"/>
        </w:rPr>
        <w:t xml:space="preserve"> (AfDB, 2014b). Discussions with stakeholders indicate that investments are being made to improve logistics efficiency including investments in building infrastructure for cargo tracking and mobile scanning, </w:t>
      </w:r>
      <w:r>
        <w:rPr>
          <w:rFonts w:ascii="Garamond" w:hAnsi="Garamond"/>
          <w:sz w:val="24"/>
          <w:szCs w:val="24"/>
          <w:lang w:val="en-GB"/>
        </w:rPr>
        <w:lastRenderedPageBreak/>
        <w:t>but the application of these technologies, especially tracking technologies is hampered by high initial costs for private sector as tracking technologies need to be installed in each transport car.</w:t>
      </w:r>
      <w:r>
        <w:rPr>
          <w:rStyle w:val="FootnoteReference"/>
          <w:rFonts w:ascii="Garamond" w:hAnsi="Garamond"/>
          <w:sz w:val="24"/>
          <w:szCs w:val="24"/>
          <w:lang w:val="en-GB"/>
        </w:rPr>
        <w:footnoteReference w:id="31"/>
      </w:r>
      <w:r>
        <w:rPr>
          <w:rFonts w:ascii="Garamond" w:hAnsi="Garamond"/>
          <w:sz w:val="24"/>
          <w:szCs w:val="24"/>
          <w:lang w:val="en-GB"/>
        </w:rPr>
        <w:t xml:space="preserve"> In addition, weak coordination among different actors involved in the logistics services has remained a challenge since there is no coordination mechanism in place, and this calls for interfacing the different actors to improve efficiency in logistics services and information.  </w:t>
      </w:r>
    </w:p>
    <w:p w:rsidR="00B31252" w:rsidRDefault="00B31252" w:rsidP="00B31252">
      <w:pPr>
        <w:pStyle w:val="Caption"/>
        <w:spacing w:after="0"/>
        <w:rPr>
          <w:rFonts w:ascii="Garamond" w:hAnsi="Garamond"/>
          <w:sz w:val="22"/>
          <w:szCs w:val="22"/>
        </w:rPr>
      </w:pPr>
      <w:r>
        <w:rPr>
          <w:rFonts w:ascii="Garamond" w:hAnsi="Garamond"/>
          <w:sz w:val="22"/>
          <w:szCs w:val="22"/>
        </w:rPr>
        <w:t xml:space="preserve">             </w:t>
      </w:r>
      <w:bookmarkStart w:id="88" w:name="_Toc486585966"/>
      <w:r w:rsidRPr="007D585E">
        <w:rPr>
          <w:rFonts w:ascii="Garamond" w:hAnsi="Garamond"/>
          <w:sz w:val="22"/>
          <w:szCs w:val="22"/>
        </w:rPr>
        <w:t xml:space="preserve">Figure </w:t>
      </w:r>
      <w:r w:rsidR="00BF3BBC" w:rsidRPr="007D585E">
        <w:rPr>
          <w:rFonts w:ascii="Garamond" w:hAnsi="Garamond"/>
          <w:sz w:val="22"/>
          <w:szCs w:val="22"/>
        </w:rPr>
        <w:fldChar w:fldCharType="begin"/>
      </w:r>
      <w:r w:rsidRPr="007D585E">
        <w:rPr>
          <w:rFonts w:ascii="Garamond" w:hAnsi="Garamond"/>
          <w:sz w:val="22"/>
          <w:szCs w:val="22"/>
        </w:rPr>
        <w:instrText xml:space="preserve"> SEQ Figure \* ARABIC </w:instrText>
      </w:r>
      <w:r w:rsidR="00BF3BBC" w:rsidRPr="007D585E">
        <w:rPr>
          <w:rFonts w:ascii="Garamond" w:hAnsi="Garamond"/>
          <w:sz w:val="22"/>
          <w:szCs w:val="22"/>
        </w:rPr>
        <w:fldChar w:fldCharType="separate"/>
      </w:r>
      <w:r w:rsidR="006C24A4">
        <w:rPr>
          <w:rFonts w:ascii="Garamond" w:hAnsi="Garamond"/>
          <w:noProof/>
          <w:sz w:val="22"/>
          <w:szCs w:val="22"/>
        </w:rPr>
        <w:t>31</w:t>
      </w:r>
      <w:r w:rsidR="00BF3BBC" w:rsidRPr="007D585E">
        <w:rPr>
          <w:rFonts w:ascii="Garamond" w:hAnsi="Garamond"/>
          <w:sz w:val="22"/>
          <w:szCs w:val="22"/>
        </w:rPr>
        <w:fldChar w:fldCharType="end"/>
      </w:r>
      <w:r w:rsidRPr="007D585E">
        <w:rPr>
          <w:rFonts w:ascii="Garamond" w:hAnsi="Garamond"/>
          <w:sz w:val="22"/>
          <w:szCs w:val="22"/>
        </w:rPr>
        <w:t>: Ethiopia’s rank in logistics performance index</w:t>
      </w:r>
      <w:bookmarkEnd w:id="88"/>
      <w:r w:rsidRPr="007D585E">
        <w:rPr>
          <w:rFonts w:ascii="Garamond" w:hAnsi="Garamond"/>
          <w:sz w:val="22"/>
          <w:szCs w:val="22"/>
        </w:rPr>
        <w:t xml:space="preserve">  </w:t>
      </w:r>
    </w:p>
    <w:p w:rsidR="00B31252" w:rsidRPr="00864218" w:rsidRDefault="00B31252" w:rsidP="00B31252">
      <w:pPr>
        <w:spacing w:after="0" w:line="240" w:lineRule="auto"/>
        <w:ind w:left="810"/>
        <w:rPr>
          <w:lang w:val="en-GB" w:eastAsia="en-GB"/>
        </w:rPr>
      </w:pPr>
      <w:r>
        <w:rPr>
          <w:noProof/>
        </w:rPr>
        <w:drawing>
          <wp:inline distT="0" distB="0" distL="0" distR="0">
            <wp:extent cx="5099685" cy="1937658"/>
            <wp:effectExtent l="0" t="0" r="5715" b="5715"/>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B31252" w:rsidRDefault="00B31252" w:rsidP="00B31252">
      <w:pPr>
        <w:autoSpaceDE w:val="0"/>
        <w:autoSpaceDN w:val="0"/>
        <w:adjustRightInd w:val="0"/>
        <w:spacing w:after="0" w:line="240" w:lineRule="auto"/>
        <w:jc w:val="both"/>
        <w:rPr>
          <w:rFonts w:ascii="Garamond" w:hAnsi="Garamond"/>
        </w:rPr>
      </w:pPr>
      <w:r>
        <w:rPr>
          <w:rFonts w:ascii="Garamond" w:hAnsi="Garamond"/>
        </w:rPr>
        <w:t xml:space="preserve">               </w:t>
      </w:r>
      <w:r w:rsidRPr="00F84BAA">
        <w:rPr>
          <w:rFonts w:ascii="Garamond" w:hAnsi="Garamond"/>
        </w:rPr>
        <w:t>Source: World Bank (various reports)</w:t>
      </w:r>
    </w:p>
    <w:p w:rsidR="00B31252" w:rsidRDefault="00B31252" w:rsidP="00B31252">
      <w:pPr>
        <w:autoSpaceDE w:val="0"/>
        <w:autoSpaceDN w:val="0"/>
        <w:adjustRightInd w:val="0"/>
        <w:spacing w:after="0" w:line="240" w:lineRule="auto"/>
        <w:jc w:val="both"/>
        <w:rPr>
          <w:rFonts w:ascii="Garamond" w:hAnsi="Garamond"/>
        </w:rPr>
      </w:pPr>
    </w:p>
    <w:p w:rsidR="00B31252" w:rsidRPr="00FE7EE5" w:rsidRDefault="00B31252" w:rsidP="00B31252">
      <w:pPr>
        <w:autoSpaceDE w:val="0"/>
        <w:autoSpaceDN w:val="0"/>
        <w:adjustRightInd w:val="0"/>
        <w:spacing w:after="0" w:line="240" w:lineRule="auto"/>
        <w:jc w:val="both"/>
        <w:rPr>
          <w:rFonts w:ascii="Garamond" w:hAnsi="Garamond"/>
          <w:bCs/>
          <w:sz w:val="24"/>
          <w:szCs w:val="24"/>
        </w:rPr>
      </w:pPr>
      <w:r w:rsidRPr="00FE7EE5">
        <w:rPr>
          <w:rFonts w:ascii="Garamond" w:hAnsi="Garamond"/>
          <w:bCs/>
          <w:sz w:val="24"/>
          <w:szCs w:val="24"/>
        </w:rPr>
        <w:t xml:space="preserve">Barriers to private sector involvement in sustainable development investment include higher up-front costs (most sustainable investments impose higher up-front costs), greater technological risks, especially under local conditions as most climate-related technologies have not penetrated local markets, lack of awareness regarding options for addressing sustainable development challenges, limited relevant expertise/capacity among the actors involved in delivering sustainable development actions, limited capital market instruments due to underdeveloped capital markets, regulatory uncertainty, and inadequate institutional capacity (both technical and financial). </w:t>
      </w:r>
    </w:p>
    <w:p w:rsidR="00B31252" w:rsidRDefault="00B31252" w:rsidP="00B31252">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As articulated in the GTP-II, the following interventions are envisaged to enhance the domestic private sector and attract FDI. </w:t>
      </w:r>
    </w:p>
    <w:p w:rsidR="00B31252" w:rsidRPr="00A7093E" w:rsidRDefault="00B31252" w:rsidP="00B31252">
      <w:pPr>
        <w:pStyle w:val="ListParagraph"/>
        <w:numPr>
          <w:ilvl w:val="0"/>
          <w:numId w:val="11"/>
        </w:numPr>
        <w:autoSpaceDE w:val="0"/>
        <w:autoSpaceDN w:val="0"/>
        <w:adjustRightInd w:val="0"/>
        <w:spacing w:after="0" w:line="240" w:lineRule="auto"/>
        <w:jc w:val="both"/>
        <w:rPr>
          <w:rFonts w:ascii="Garamond" w:hAnsi="Garamond"/>
          <w:sz w:val="24"/>
          <w:szCs w:val="24"/>
        </w:rPr>
      </w:pPr>
      <w:r w:rsidRPr="00A7093E">
        <w:rPr>
          <w:rFonts w:ascii="Garamond" w:hAnsi="Garamond"/>
          <w:sz w:val="24"/>
          <w:szCs w:val="24"/>
        </w:rPr>
        <w:t>expansion of special economic zones or specialized industrial parks with the required  infrastructure and streamlined public procedures as well as fiscal and trade policy incentives</w:t>
      </w:r>
    </w:p>
    <w:p w:rsidR="00B31252" w:rsidRPr="00A7093E" w:rsidRDefault="00B31252" w:rsidP="00B31252">
      <w:pPr>
        <w:pStyle w:val="ListParagraph"/>
        <w:numPr>
          <w:ilvl w:val="0"/>
          <w:numId w:val="11"/>
        </w:numPr>
        <w:autoSpaceDE w:val="0"/>
        <w:autoSpaceDN w:val="0"/>
        <w:adjustRightInd w:val="0"/>
        <w:spacing w:after="0" w:line="240" w:lineRule="auto"/>
        <w:jc w:val="both"/>
        <w:rPr>
          <w:rFonts w:ascii="Garamond" w:hAnsi="Garamond"/>
          <w:sz w:val="24"/>
          <w:szCs w:val="24"/>
        </w:rPr>
      </w:pPr>
      <w:r w:rsidRPr="00A7093E">
        <w:rPr>
          <w:rFonts w:ascii="Garamond" w:hAnsi="Garamond"/>
          <w:sz w:val="24"/>
          <w:szCs w:val="24"/>
        </w:rPr>
        <w:t>provid</w:t>
      </w:r>
      <w:r>
        <w:rPr>
          <w:rFonts w:ascii="Garamond" w:hAnsi="Garamond"/>
          <w:sz w:val="24"/>
          <w:szCs w:val="24"/>
        </w:rPr>
        <w:t>e</w:t>
      </w:r>
      <w:r w:rsidRPr="00A7093E">
        <w:rPr>
          <w:rFonts w:ascii="Garamond" w:hAnsi="Garamond"/>
          <w:sz w:val="24"/>
          <w:szCs w:val="24"/>
        </w:rPr>
        <w:t xml:space="preserve"> more efficient trade lo</w:t>
      </w:r>
      <w:r>
        <w:rPr>
          <w:rFonts w:ascii="Garamond" w:hAnsi="Garamond"/>
          <w:sz w:val="24"/>
          <w:szCs w:val="24"/>
        </w:rPr>
        <w:t xml:space="preserve">gistics and transport services and </w:t>
      </w:r>
      <w:r w:rsidRPr="00A7093E">
        <w:rPr>
          <w:rFonts w:ascii="Garamond" w:hAnsi="Garamond"/>
          <w:sz w:val="24"/>
          <w:szCs w:val="24"/>
        </w:rPr>
        <w:t xml:space="preserve">energy supply, </w:t>
      </w:r>
    </w:p>
    <w:p w:rsidR="00B31252" w:rsidRPr="00A7093E" w:rsidRDefault="00B31252" w:rsidP="00B31252">
      <w:pPr>
        <w:pStyle w:val="ListParagraph"/>
        <w:numPr>
          <w:ilvl w:val="0"/>
          <w:numId w:val="11"/>
        </w:numPr>
        <w:autoSpaceDE w:val="0"/>
        <w:autoSpaceDN w:val="0"/>
        <w:adjustRightInd w:val="0"/>
        <w:spacing w:after="0" w:line="240" w:lineRule="auto"/>
        <w:jc w:val="both"/>
        <w:rPr>
          <w:rFonts w:ascii="Garamond" w:hAnsi="Garamond"/>
          <w:sz w:val="24"/>
          <w:szCs w:val="24"/>
        </w:rPr>
      </w:pPr>
      <w:r w:rsidRPr="00A7093E">
        <w:rPr>
          <w:rFonts w:ascii="Garamond" w:hAnsi="Garamond"/>
          <w:sz w:val="24"/>
          <w:szCs w:val="24"/>
        </w:rPr>
        <w:t xml:space="preserve">supply of land mainly through industrial parks approach,  </w:t>
      </w:r>
    </w:p>
    <w:p w:rsidR="00B31252" w:rsidRPr="00A7093E" w:rsidRDefault="00B31252" w:rsidP="00B31252">
      <w:pPr>
        <w:pStyle w:val="ListParagraph"/>
        <w:numPr>
          <w:ilvl w:val="0"/>
          <w:numId w:val="11"/>
        </w:numPr>
        <w:autoSpaceDE w:val="0"/>
        <w:autoSpaceDN w:val="0"/>
        <w:adjustRightInd w:val="0"/>
        <w:spacing w:after="0" w:line="240" w:lineRule="auto"/>
        <w:jc w:val="both"/>
        <w:rPr>
          <w:rFonts w:ascii="Garamond" w:hAnsi="Garamond"/>
          <w:sz w:val="24"/>
          <w:szCs w:val="24"/>
        </w:rPr>
      </w:pPr>
      <w:r w:rsidRPr="00A7093E">
        <w:rPr>
          <w:rFonts w:ascii="Garamond" w:hAnsi="Garamond"/>
          <w:sz w:val="24"/>
          <w:szCs w:val="24"/>
        </w:rPr>
        <w:t xml:space="preserve">trade and customs facilitations;  and </w:t>
      </w:r>
    </w:p>
    <w:p w:rsidR="00B31252" w:rsidRDefault="00B31252" w:rsidP="00B31252">
      <w:pPr>
        <w:pStyle w:val="ListParagraph"/>
        <w:numPr>
          <w:ilvl w:val="0"/>
          <w:numId w:val="11"/>
        </w:numPr>
        <w:autoSpaceDE w:val="0"/>
        <w:autoSpaceDN w:val="0"/>
        <w:adjustRightInd w:val="0"/>
        <w:spacing w:after="0" w:line="240" w:lineRule="auto"/>
        <w:jc w:val="both"/>
        <w:rPr>
          <w:rFonts w:ascii="Garamond" w:hAnsi="Garamond"/>
          <w:sz w:val="24"/>
          <w:szCs w:val="24"/>
        </w:rPr>
      </w:pPr>
      <w:r w:rsidRPr="00A7093E">
        <w:rPr>
          <w:rFonts w:ascii="Garamond" w:hAnsi="Garamond"/>
          <w:sz w:val="24"/>
          <w:szCs w:val="24"/>
        </w:rPr>
        <w:t>priority supply of credit and foreign exchange</w:t>
      </w:r>
    </w:p>
    <w:p w:rsidR="00B31252" w:rsidRDefault="00B31252" w:rsidP="00B31252">
      <w:pPr>
        <w:shd w:val="clear" w:color="auto" w:fill="FFFFFF"/>
        <w:spacing w:after="0" w:line="240" w:lineRule="auto"/>
        <w:jc w:val="both"/>
        <w:rPr>
          <w:rFonts w:ascii="Garamond" w:hAnsi="Garamond"/>
          <w:sz w:val="24"/>
          <w:szCs w:val="24"/>
        </w:rPr>
      </w:pPr>
      <w:r w:rsidRPr="00123A43">
        <w:rPr>
          <w:rFonts w:ascii="Garamond" w:hAnsi="Garamond"/>
          <w:sz w:val="24"/>
          <w:szCs w:val="24"/>
          <w:lang w:val="en-GB"/>
        </w:rPr>
        <w:t>There are notable initiative by the government to curb the multiple problems constraining the private sector. T</w:t>
      </w:r>
      <w:r w:rsidRPr="00123A43">
        <w:rPr>
          <w:rFonts w:ascii="Garamond" w:hAnsi="Garamond"/>
          <w:sz w:val="24"/>
          <w:szCs w:val="24"/>
        </w:rPr>
        <w:t xml:space="preserve">he completion of the Ethio-Djibouti railway project, which is currently in the final stage, would help reduce transportation costs, and enhance logistics efficiency. There are also similar investments in the railway sector to connect different areas of the country. The impact of these investments on industry and export growth is expected to be large as railway transport is cost effective compared to road transport. </w:t>
      </w:r>
    </w:p>
    <w:p w:rsidR="004114CC" w:rsidRDefault="00B31252" w:rsidP="00EF46F9">
      <w:pPr>
        <w:shd w:val="clear" w:color="auto" w:fill="FFFFFF"/>
        <w:spacing w:after="0" w:line="240" w:lineRule="auto"/>
        <w:jc w:val="both"/>
      </w:pPr>
      <w:r w:rsidRPr="00DE4B04">
        <w:rPr>
          <w:rFonts w:ascii="Garamond" w:hAnsi="Garamond"/>
          <w:sz w:val="24"/>
          <w:szCs w:val="24"/>
        </w:rPr>
        <w:t xml:space="preserve">The establishment of integrated industrial development parks across the country is also another initiative by the government which will ease not only the logistics hurdles but also other constraints as these parks are expected to avail the necessary infrastructure including one-stop-shop services for investors investing in designated industrial parks. </w:t>
      </w:r>
      <w:r>
        <w:rPr>
          <w:rFonts w:ascii="Garamond" w:hAnsi="Garamond"/>
          <w:sz w:val="24"/>
          <w:szCs w:val="24"/>
        </w:rPr>
        <w:t xml:space="preserve">Recently two industrial parks have become </w:t>
      </w:r>
      <w:r>
        <w:rPr>
          <w:rFonts w:ascii="Garamond" w:hAnsi="Garamond"/>
          <w:sz w:val="24"/>
          <w:szCs w:val="24"/>
        </w:rPr>
        <w:lastRenderedPageBreak/>
        <w:t xml:space="preserve">operational including </w:t>
      </w:r>
      <w:r w:rsidRPr="0070280F">
        <w:rPr>
          <w:rFonts w:ascii="Garamond" w:hAnsi="Garamond"/>
          <w:sz w:val="24"/>
          <w:szCs w:val="24"/>
        </w:rPr>
        <w:t>Bole Lemi I</w:t>
      </w:r>
      <w:r>
        <w:rPr>
          <w:rFonts w:ascii="Garamond" w:hAnsi="Garamond"/>
          <w:sz w:val="24"/>
          <w:szCs w:val="24"/>
        </w:rPr>
        <w:t xml:space="preserve"> and</w:t>
      </w:r>
      <w:r w:rsidRPr="00BD056D">
        <w:rPr>
          <w:rFonts w:ascii="Garamond" w:hAnsi="Garamond"/>
          <w:sz w:val="24"/>
          <w:szCs w:val="24"/>
        </w:rPr>
        <w:t xml:space="preserve"> </w:t>
      </w:r>
      <w:r>
        <w:rPr>
          <w:rFonts w:ascii="Garamond" w:hAnsi="Garamond"/>
          <w:sz w:val="24"/>
          <w:szCs w:val="24"/>
        </w:rPr>
        <w:t xml:space="preserve">Hawassa. There are also a number of upcoming industrial parks in Ethiopia including </w:t>
      </w:r>
      <w:r w:rsidRPr="0070280F">
        <w:rPr>
          <w:rFonts w:ascii="Garamond" w:hAnsi="Garamond"/>
          <w:sz w:val="24"/>
          <w:szCs w:val="24"/>
        </w:rPr>
        <w:t xml:space="preserve">Bole Lemi </w:t>
      </w:r>
      <w:r>
        <w:rPr>
          <w:rFonts w:ascii="Garamond" w:hAnsi="Garamond"/>
          <w:sz w:val="24"/>
          <w:szCs w:val="24"/>
        </w:rPr>
        <w:t xml:space="preserve">II, </w:t>
      </w:r>
      <w:r w:rsidRPr="0002430D">
        <w:rPr>
          <w:rFonts w:ascii="Garamond" w:hAnsi="Garamond"/>
          <w:sz w:val="24"/>
          <w:szCs w:val="24"/>
        </w:rPr>
        <w:t>Kilinto, Adama, Dire Dawa, Kombolcha, Mekelle, Arerti, and</w:t>
      </w:r>
      <w:r>
        <w:rPr>
          <w:rFonts w:ascii="Garamond" w:hAnsi="Garamond" w:cs="Arial"/>
          <w:color w:val="323543"/>
          <w:sz w:val="24"/>
          <w:szCs w:val="24"/>
        </w:rPr>
        <w:t xml:space="preserve"> </w:t>
      </w:r>
      <w:r w:rsidRPr="0002430D">
        <w:rPr>
          <w:rFonts w:ascii="Garamond" w:hAnsi="Garamond"/>
          <w:sz w:val="24"/>
          <w:szCs w:val="24"/>
        </w:rPr>
        <w:t>Debre Berhan industrial parks</w:t>
      </w:r>
      <w:r>
        <w:rPr>
          <w:rFonts w:ascii="Garamond" w:hAnsi="Garamond" w:cs="Arial"/>
          <w:color w:val="323543"/>
          <w:sz w:val="24"/>
          <w:szCs w:val="24"/>
        </w:rPr>
        <w:t>.</w:t>
      </w:r>
      <w:r>
        <w:rPr>
          <w:rStyle w:val="FootnoteReference"/>
          <w:rFonts w:ascii="Garamond" w:hAnsi="Garamond" w:cs="Arial"/>
          <w:color w:val="323543"/>
          <w:sz w:val="24"/>
          <w:szCs w:val="24"/>
        </w:rPr>
        <w:footnoteReference w:id="32"/>
      </w:r>
      <w:r w:rsidRPr="0070280F">
        <w:rPr>
          <w:rFonts w:ascii="Garamond" w:hAnsi="Garamond" w:cs="Arial"/>
          <w:color w:val="323543"/>
          <w:sz w:val="24"/>
          <w:szCs w:val="24"/>
        </w:rPr>
        <w:t xml:space="preserve"> </w:t>
      </w:r>
      <w:r w:rsidRPr="0002430D">
        <w:rPr>
          <w:rFonts w:ascii="Garamond" w:hAnsi="Garamond"/>
          <w:sz w:val="24"/>
          <w:szCs w:val="24"/>
        </w:rPr>
        <w:t>These parks are dedicated for specific sectors such as textile &amp;</w:t>
      </w:r>
      <w:r w:rsidRPr="00DE4B04">
        <w:rPr>
          <w:rFonts w:ascii="Garamond" w:hAnsi="Garamond" w:cs="Arial"/>
          <w:color w:val="323543"/>
          <w:sz w:val="24"/>
          <w:szCs w:val="24"/>
        </w:rPr>
        <w:t xml:space="preserve"> </w:t>
      </w:r>
      <w:r w:rsidRPr="0002430D">
        <w:rPr>
          <w:rFonts w:ascii="Garamond" w:hAnsi="Garamond"/>
          <w:sz w:val="24"/>
          <w:szCs w:val="24"/>
        </w:rPr>
        <w:t>apparel, leather &amp; leather products, pharmaceuticals, agro-processing etc. </w:t>
      </w:r>
      <w:r w:rsidRPr="00123A43">
        <w:rPr>
          <w:rFonts w:ascii="Garamond" w:hAnsi="Garamond"/>
          <w:sz w:val="24"/>
          <w:szCs w:val="24"/>
        </w:rPr>
        <w:t>The government of Ethiopia established the Ethiopian Industrial Parks Development Corporation (IPDC) in 2014</w:t>
      </w:r>
      <w:r>
        <w:rPr>
          <w:rFonts w:ascii="Garamond" w:hAnsi="Garamond"/>
          <w:sz w:val="24"/>
          <w:szCs w:val="24"/>
        </w:rPr>
        <w:t xml:space="preserve"> to accelerate</w:t>
      </w:r>
      <w:r w:rsidRPr="00123A43">
        <w:rPr>
          <w:rFonts w:ascii="Garamond" w:hAnsi="Garamond"/>
          <w:sz w:val="24"/>
          <w:szCs w:val="24"/>
        </w:rPr>
        <w:t xml:space="preserve"> economic transformation, promote and attract both domestic and foreign investors. Development of industrial parks enjoys strong government support</w:t>
      </w:r>
      <w:r>
        <w:rPr>
          <w:rFonts w:ascii="Garamond" w:hAnsi="Garamond"/>
          <w:sz w:val="24"/>
          <w:szCs w:val="24"/>
        </w:rPr>
        <w:t xml:space="preserve"> and</w:t>
      </w:r>
      <w:r w:rsidRPr="00123A43">
        <w:rPr>
          <w:rFonts w:ascii="Garamond" w:hAnsi="Garamond"/>
          <w:sz w:val="24"/>
          <w:szCs w:val="24"/>
        </w:rPr>
        <w:t xml:space="preserve"> investment policy, </w:t>
      </w:r>
      <w:r>
        <w:rPr>
          <w:rFonts w:ascii="Garamond" w:hAnsi="Garamond"/>
          <w:sz w:val="24"/>
          <w:szCs w:val="24"/>
        </w:rPr>
        <w:t xml:space="preserve">and </w:t>
      </w:r>
      <w:r w:rsidRPr="00123A43">
        <w:rPr>
          <w:rFonts w:ascii="Garamond" w:hAnsi="Garamond"/>
          <w:sz w:val="24"/>
          <w:szCs w:val="24"/>
        </w:rPr>
        <w:t xml:space="preserve">these parks are located along key economic corridors </w:t>
      </w:r>
      <w:r>
        <w:rPr>
          <w:rFonts w:ascii="Garamond" w:hAnsi="Garamond"/>
          <w:sz w:val="24"/>
          <w:szCs w:val="24"/>
        </w:rPr>
        <w:t>and</w:t>
      </w:r>
      <w:r w:rsidRPr="00123A43">
        <w:rPr>
          <w:rFonts w:ascii="Garamond" w:hAnsi="Garamond"/>
          <w:sz w:val="24"/>
          <w:szCs w:val="24"/>
        </w:rPr>
        <w:t xml:space="preserve"> connected to ports surrounded by infrastructures such as airports, railway lines, dry ports, universities</w:t>
      </w:r>
      <w:r>
        <w:rPr>
          <w:rFonts w:ascii="Garamond" w:hAnsi="Garamond"/>
          <w:sz w:val="24"/>
          <w:szCs w:val="24"/>
        </w:rPr>
        <w:t>,</w:t>
      </w:r>
      <w:r w:rsidRPr="00123A43">
        <w:rPr>
          <w:rFonts w:ascii="Garamond" w:hAnsi="Garamond"/>
          <w:sz w:val="24"/>
          <w:szCs w:val="24"/>
        </w:rPr>
        <w:t xml:space="preserve"> etc. There is a need to deepen these initiative</w:t>
      </w:r>
      <w:r>
        <w:rPr>
          <w:rFonts w:ascii="Garamond" w:hAnsi="Garamond"/>
          <w:sz w:val="24"/>
          <w:szCs w:val="24"/>
        </w:rPr>
        <w:t>s</w:t>
      </w:r>
      <w:r w:rsidRPr="00123A43">
        <w:rPr>
          <w:rFonts w:ascii="Garamond" w:hAnsi="Garamond"/>
          <w:sz w:val="24"/>
          <w:szCs w:val="24"/>
        </w:rPr>
        <w:t xml:space="preserve"> to trigger </w:t>
      </w:r>
      <w:r w:rsidR="0031706A">
        <w:rPr>
          <w:rFonts w:ascii="Garamond" w:hAnsi="Garamond"/>
          <w:sz w:val="24"/>
          <w:szCs w:val="24"/>
        </w:rPr>
        <w:t xml:space="preserve">further </w:t>
      </w:r>
      <w:r w:rsidRPr="00123A43">
        <w:rPr>
          <w:rFonts w:ascii="Garamond" w:hAnsi="Garamond"/>
          <w:sz w:val="24"/>
          <w:szCs w:val="24"/>
        </w:rPr>
        <w:t xml:space="preserve">transformation.   </w:t>
      </w:r>
    </w:p>
    <w:p w:rsidR="00B31252" w:rsidRPr="001B1FD6" w:rsidRDefault="00B31252" w:rsidP="00B3125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Garamond" w:hAnsi="Garamond"/>
          <w:b/>
        </w:rPr>
      </w:pPr>
      <w:r w:rsidRPr="001B1FD6">
        <w:rPr>
          <w:rFonts w:ascii="Garamond" w:hAnsi="Garamond"/>
          <w:b/>
        </w:rPr>
        <w:t>Box 6: Integrated industrial parks development in Ethiopia</w:t>
      </w:r>
    </w:p>
    <w:p w:rsidR="00B31252" w:rsidRPr="005250B9" w:rsidRDefault="00B31252" w:rsidP="00B3125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Garamond" w:hAnsi="Garamond"/>
        </w:rPr>
      </w:pPr>
      <w:r w:rsidRPr="005250B9">
        <w:rPr>
          <w:rFonts w:ascii="Garamond" w:hAnsi="Garamond"/>
        </w:rPr>
        <w:t xml:space="preserve">The government has </w:t>
      </w:r>
      <w:r>
        <w:rPr>
          <w:rFonts w:ascii="Garamond" w:hAnsi="Garamond"/>
        </w:rPr>
        <w:t xml:space="preserve">already </w:t>
      </w:r>
      <w:r w:rsidRPr="005250B9">
        <w:rPr>
          <w:rFonts w:ascii="Garamond" w:hAnsi="Garamond"/>
        </w:rPr>
        <w:t xml:space="preserve">built </w:t>
      </w:r>
      <w:r>
        <w:rPr>
          <w:rFonts w:ascii="Garamond" w:hAnsi="Garamond"/>
        </w:rPr>
        <w:t>two i</w:t>
      </w:r>
      <w:r w:rsidRPr="005250B9">
        <w:rPr>
          <w:rFonts w:ascii="Garamond" w:hAnsi="Garamond"/>
        </w:rPr>
        <w:t xml:space="preserve">ndustrial parks on the outskirts of Addis Ababa, Bole Lemi and Kilinto and another in Hawassa town. The Ethiopian government </w:t>
      </w:r>
      <w:r>
        <w:rPr>
          <w:rFonts w:ascii="Garamond" w:hAnsi="Garamond"/>
        </w:rPr>
        <w:t xml:space="preserve">also </w:t>
      </w:r>
      <w:r w:rsidRPr="005250B9">
        <w:rPr>
          <w:rFonts w:ascii="Garamond" w:hAnsi="Garamond"/>
        </w:rPr>
        <w:t xml:space="preserve">plans to establish </w:t>
      </w:r>
      <w:r>
        <w:rPr>
          <w:rFonts w:ascii="Garamond" w:hAnsi="Garamond"/>
        </w:rPr>
        <w:t xml:space="preserve">additional </w:t>
      </w:r>
      <w:r w:rsidRPr="005250B9">
        <w:rPr>
          <w:rFonts w:ascii="Garamond" w:hAnsi="Garamond"/>
        </w:rPr>
        <w:t>industrial parks to boost manufacturing industries. The industrial parks will be located Bahir Dar, Jimma, Adama, Kombolcha and Meke</w:t>
      </w:r>
      <w:r>
        <w:rPr>
          <w:rFonts w:ascii="Garamond" w:hAnsi="Garamond"/>
        </w:rPr>
        <w:t>l</w:t>
      </w:r>
      <w:r w:rsidRPr="005250B9">
        <w:rPr>
          <w:rFonts w:ascii="Garamond" w:hAnsi="Garamond"/>
        </w:rPr>
        <w:t>le. The government of Ethiopia with support from UNIDO has also developed a master plan for integrated agro-industrial parks (IAIP</w:t>
      </w:r>
      <w:r>
        <w:rPr>
          <w:rFonts w:ascii="Garamond" w:hAnsi="Garamond"/>
        </w:rPr>
        <w:t>s</w:t>
      </w:r>
      <w:r w:rsidRPr="005250B9">
        <w:rPr>
          <w:rFonts w:ascii="Garamond" w:hAnsi="Garamond"/>
        </w:rPr>
        <w:t>) in four regions, namely Bure (Amhara), Baeker (Tigray), Bulbula (Oromia), and Yirgalem (SNNPR)</w:t>
      </w:r>
      <w:r>
        <w:rPr>
          <w:rFonts w:ascii="Garamond" w:hAnsi="Garamond"/>
        </w:rPr>
        <w:t xml:space="preserve"> to advance inclusive and sustainable industrialization and rural transformation</w:t>
      </w:r>
      <w:r w:rsidRPr="005250B9">
        <w:rPr>
          <w:rFonts w:ascii="Garamond" w:hAnsi="Garamond"/>
        </w:rPr>
        <w:t xml:space="preserve">. </w:t>
      </w:r>
      <w:r>
        <w:rPr>
          <w:rFonts w:ascii="Garamond" w:hAnsi="Garamond"/>
        </w:rPr>
        <w:t xml:space="preserve">The feasibility study has identified 17 agro-industrial corridors, and a phased approach to be followed in the development of IAIPs and RTCs. In the first phase, four IAIP and 28 RTCs are being piloted in four regions mentioned above and these have been selected based on agricultural production potential of strategic commodities, infrastructure, potential inter-industry linkages and triggering effects, market potential, access to commercial and support services, and enterprise concentration and attractiveness </w:t>
      </w:r>
      <w:r w:rsidRPr="005250B9">
        <w:rPr>
          <w:rFonts w:ascii="Garamond" w:hAnsi="Garamond"/>
        </w:rPr>
        <w:t>(UNIDO, 2016)</w:t>
      </w:r>
      <w:r>
        <w:rPr>
          <w:rFonts w:ascii="Garamond" w:hAnsi="Garamond"/>
        </w:rPr>
        <w:t xml:space="preserve">.  </w:t>
      </w:r>
    </w:p>
    <w:p w:rsidR="00B31252" w:rsidRPr="005250B9" w:rsidRDefault="00B31252" w:rsidP="00B3125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Garamond" w:hAnsi="Garamond"/>
        </w:rPr>
      </w:pPr>
      <w:r w:rsidRPr="005250B9">
        <w:rPr>
          <w:rFonts w:ascii="Garamond" w:hAnsi="Garamond"/>
        </w:rPr>
        <w:t xml:space="preserve">Medium- and large-scale food processing companies in Ethiopia </w:t>
      </w:r>
      <w:r>
        <w:rPr>
          <w:rFonts w:ascii="Garamond" w:hAnsi="Garamond"/>
        </w:rPr>
        <w:t xml:space="preserve">are </w:t>
      </w:r>
      <w:r w:rsidRPr="005250B9">
        <w:rPr>
          <w:rFonts w:ascii="Garamond" w:hAnsi="Garamond"/>
        </w:rPr>
        <w:t>constrained by shortage of raw material inputs (both in quantity and quality). This is due to two interrelated factors: poor quality inputs, and collection inefficiencies due to the large number of smallholder farmers scattered over large areas. Addressing these challenges helps the agricultural sector to drive agro-industrial development and underpin future economic growth. Recognizing this, the government of Ethiopia has developed a master plan for rural transformation centres (RTCs) which serve as raw material aggregation points in the catchment areas (100 km radius) of each IAIP</w:t>
      </w:r>
      <w:r>
        <w:rPr>
          <w:rFonts w:ascii="Garamond" w:hAnsi="Garamond"/>
        </w:rPr>
        <w:t xml:space="preserve">. </w:t>
      </w:r>
      <w:r w:rsidRPr="005250B9">
        <w:rPr>
          <w:rFonts w:ascii="Garamond" w:hAnsi="Garamond"/>
        </w:rPr>
        <w:t xml:space="preserve">Rural transformation centers </w:t>
      </w:r>
      <w:r>
        <w:rPr>
          <w:rFonts w:ascii="Garamond" w:hAnsi="Garamond"/>
        </w:rPr>
        <w:t xml:space="preserve">provide several functions including </w:t>
      </w:r>
      <w:r w:rsidRPr="005250B9">
        <w:rPr>
          <w:rFonts w:ascii="Garamond" w:hAnsi="Garamond"/>
        </w:rPr>
        <w:t>warehouses, input supply, sorting, grading, extension services, pre-processing activities and micro</w:t>
      </w:r>
      <w:r>
        <w:rPr>
          <w:rFonts w:ascii="Garamond" w:hAnsi="Garamond"/>
        </w:rPr>
        <w:t>f</w:t>
      </w:r>
      <w:r w:rsidRPr="005250B9">
        <w:rPr>
          <w:rFonts w:ascii="Garamond" w:hAnsi="Garamond"/>
        </w:rPr>
        <w:t>inance</w:t>
      </w:r>
      <w:r>
        <w:rPr>
          <w:rFonts w:ascii="Garamond" w:hAnsi="Garamond"/>
        </w:rPr>
        <w:t xml:space="preserve">. </w:t>
      </w:r>
    </w:p>
    <w:p w:rsidR="00ED070F" w:rsidRDefault="00B31252" w:rsidP="00ED070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Garamond" w:hAnsi="Garamond"/>
          <w:sz w:val="24"/>
          <w:szCs w:val="24"/>
        </w:rPr>
      </w:pPr>
      <w:r w:rsidRPr="00215194">
        <w:rPr>
          <w:rFonts w:ascii="Garamond" w:hAnsi="Garamond"/>
        </w:rPr>
        <w:t>Source: UNIDO (2016)</w:t>
      </w:r>
    </w:p>
    <w:p w:rsidR="00B31252" w:rsidRDefault="00B31252" w:rsidP="00B31252">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Pr>
          <w:rFonts w:ascii="Garamond" w:hAnsi="Garamond"/>
          <w:sz w:val="24"/>
          <w:szCs w:val="24"/>
        </w:rPr>
        <w:br w:type="page"/>
      </w:r>
    </w:p>
    <w:p w:rsidR="00ED070F" w:rsidRDefault="00ED070F" w:rsidP="00ED070F">
      <w:pPr>
        <w:pStyle w:val="Heading2"/>
        <w:rPr>
          <w:rFonts w:ascii="Garamond" w:hAnsi="Garamond"/>
          <w:b/>
          <w:sz w:val="24"/>
          <w:szCs w:val="24"/>
        </w:rPr>
      </w:pPr>
      <w:bookmarkStart w:id="89" w:name="_Toc486782280"/>
      <w:r w:rsidRPr="00ED070F">
        <w:rPr>
          <w:rFonts w:ascii="Garamond" w:hAnsi="Garamond"/>
          <w:b/>
          <w:sz w:val="24"/>
          <w:szCs w:val="24"/>
        </w:rPr>
        <w:lastRenderedPageBreak/>
        <w:t xml:space="preserve">6.5 </w:t>
      </w:r>
      <w:r w:rsidR="00227811">
        <w:rPr>
          <w:rFonts w:ascii="Garamond" w:hAnsi="Garamond"/>
          <w:b/>
          <w:sz w:val="24"/>
          <w:szCs w:val="24"/>
        </w:rPr>
        <w:t>External c</w:t>
      </w:r>
      <w:r w:rsidRPr="00ED070F">
        <w:rPr>
          <w:rFonts w:ascii="Garamond" w:hAnsi="Garamond"/>
          <w:b/>
          <w:sz w:val="24"/>
          <w:szCs w:val="24"/>
        </w:rPr>
        <w:t>limate change finance</w:t>
      </w:r>
      <w:bookmarkEnd w:id="89"/>
      <w:r w:rsidRPr="00ED070F">
        <w:rPr>
          <w:rFonts w:ascii="Garamond" w:hAnsi="Garamond"/>
          <w:b/>
          <w:sz w:val="24"/>
          <w:szCs w:val="24"/>
        </w:rPr>
        <w:t xml:space="preserve"> </w:t>
      </w:r>
    </w:p>
    <w:p w:rsidR="00ED070F" w:rsidRPr="00955366" w:rsidRDefault="00955366" w:rsidP="003D6F48">
      <w:pPr>
        <w:autoSpaceDE w:val="0"/>
        <w:autoSpaceDN w:val="0"/>
        <w:adjustRightInd w:val="0"/>
        <w:spacing w:after="0" w:line="240" w:lineRule="auto"/>
        <w:jc w:val="both"/>
        <w:rPr>
          <w:rFonts w:ascii="Garamond" w:hAnsi="Garamond"/>
          <w:sz w:val="24"/>
          <w:szCs w:val="24"/>
        </w:rPr>
      </w:pPr>
      <w:r>
        <w:rPr>
          <w:rFonts w:ascii="Garamond" w:eastAsiaTheme="minorHAnsi" w:hAnsi="Garamond" w:cs="MyriadPro-Regular"/>
          <w:sz w:val="24"/>
          <w:szCs w:val="24"/>
          <w:lang w:val="en-GB"/>
        </w:rPr>
        <w:t>External c</w:t>
      </w:r>
      <w:r w:rsidRPr="00955366">
        <w:rPr>
          <w:rFonts w:ascii="Garamond" w:eastAsiaTheme="minorHAnsi" w:hAnsi="Garamond" w:cs="MyriadPro-Regular"/>
          <w:sz w:val="24"/>
          <w:szCs w:val="24"/>
          <w:lang w:val="en-GB"/>
        </w:rPr>
        <w:t xml:space="preserve">limate finance in </w:t>
      </w:r>
      <w:r>
        <w:rPr>
          <w:rFonts w:ascii="Garamond" w:eastAsiaTheme="minorHAnsi" w:hAnsi="Garamond" w:cs="MyriadPro-Regular"/>
          <w:sz w:val="24"/>
          <w:szCs w:val="24"/>
          <w:lang w:val="en-GB"/>
        </w:rPr>
        <w:t>Ethiopia</w:t>
      </w:r>
      <w:r w:rsidRPr="00955366">
        <w:rPr>
          <w:rFonts w:ascii="Garamond" w:eastAsiaTheme="minorHAnsi" w:hAnsi="Garamond" w:cs="MyriadPro-Regular"/>
          <w:sz w:val="24"/>
          <w:szCs w:val="24"/>
          <w:lang w:val="en-GB"/>
        </w:rPr>
        <w:t xml:space="preserve"> refers to flow of funds</w:t>
      </w:r>
      <w:r>
        <w:rPr>
          <w:rFonts w:ascii="Garamond" w:eastAsiaTheme="minorHAnsi" w:hAnsi="Garamond" w:cs="MyriadPro-Regular"/>
          <w:sz w:val="24"/>
          <w:szCs w:val="24"/>
          <w:lang w:val="en-GB"/>
        </w:rPr>
        <w:t xml:space="preserve"> </w:t>
      </w:r>
      <w:r w:rsidRPr="00955366">
        <w:rPr>
          <w:rFonts w:ascii="Garamond" w:eastAsiaTheme="minorHAnsi" w:hAnsi="Garamond" w:cs="MyriadPro-Regular"/>
          <w:sz w:val="24"/>
          <w:szCs w:val="24"/>
          <w:lang w:val="en-GB"/>
        </w:rPr>
        <w:t>toward adaptation</w:t>
      </w:r>
      <w:r>
        <w:rPr>
          <w:rFonts w:ascii="Garamond" w:eastAsiaTheme="minorHAnsi" w:hAnsi="Garamond" w:cs="MyriadPro-Regular"/>
          <w:sz w:val="24"/>
          <w:szCs w:val="24"/>
          <w:lang w:val="en-GB"/>
        </w:rPr>
        <w:t xml:space="preserve"> and mitigation</w:t>
      </w:r>
      <w:r w:rsidRPr="00955366">
        <w:rPr>
          <w:rFonts w:ascii="Garamond" w:eastAsiaTheme="minorHAnsi" w:hAnsi="Garamond" w:cs="MyriadPro-Regular"/>
          <w:sz w:val="24"/>
          <w:szCs w:val="24"/>
          <w:lang w:val="en-GB"/>
        </w:rPr>
        <w:t xml:space="preserve"> measures. </w:t>
      </w:r>
      <w:r>
        <w:rPr>
          <w:rFonts w:ascii="Garamond" w:eastAsiaTheme="minorHAnsi" w:hAnsi="Garamond" w:cs="MyriadPro-Regular"/>
          <w:sz w:val="24"/>
          <w:szCs w:val="24"/>
          <w:lang w:val="en-GB"/>
        </w:rPr>
        <w:t xml:space="preserve">Ethiopia </w:t>
      </w:r>
      <w:r w:rsidRPr="00955366">
        <w:rPr>
          <w:rFonts w:ascii="Garamond" w:eastAsiaTheme="minorHAnsi" w:hAnsi="Garamond" w:cs="MyriadPro-Regular"/>
          <w:sz w:val="24"/>
          <w:szCs w:val="24"/>
          <w:lang w:val="en-GB"/>
        </w:rPr>
        <w:t xml:space="preserve">has set Intended Nationally Determined Contributions (INDC) of emission </w:t>
      </w:r>
      <w:r w:rsidRPr="003D6F48">
        <w:rPr>
          <w:rFonts w:ascii="Garamond" w:hAnsi="Garamond"/>
          <w:sz w:val="24"/>
          <w:szCs w:val="24"/>
        </w:rPr>
        <w:t xml:space="preserve">reduction to </w:t>
      </w:r>
      <w:r w:rsidR="003D6F48" w:rsidRPr="003D6F48">
        <w:rPr>
          <w:rFonts w:ascii="Garamond" w:hAnsi="Garamond"/>
          <w:sz w:val="24"/>
          <w:szCs w:val="24"/>
        </w:rPr>
        <w:t>64</w:t>
      </w:r>
      <w:r w:rsidRPr="003D6F48">
        <w:rPr>
          <w:rFonts w:ascii="Garamond" w:hAnsi="Garamond"/>
          <w:sz w:val="24"/>
          <w:szCs w:val="24"/>
        </w:rPr>
        <w:t xml:space="preserve"> percent </w:t>
      </w:r>
      <w:r w:rsidR="007130F8">
        <w:rPr>
          <w:rFonts w:ascii="Garamond" w:hAnsi="Garamond"/>
          <w:sz w:val="24"/>
          <w:szCs w:val="24"/>
        </w:rPr>
        <w:t xml:space="preserve">compared with the business as usual scenario </w:t>
      </w:r>
      <w:r w:rsidR="003D6F48" w:rsidRPr="003D6F48">
        <w:rPr>
          <w:rFonts w:ascii="Garamond" w:hAnsi="Garamond"/>
          <w:sz w:val="24"/>
          <w:szCs w:val="24"/>
        </w:rPr>
        <w:t>by 2030.</w:t>
      </w:r>
      <w:r w:rsidRPr="003D6F48">
        <w:rPr>
          <w:rFonts w:ascii="Garamond" w:hAnsi="Garamond"/>
          <w:sz w:val="24"/>
          <w:szCs w:val="24"/>
        </w:rPr>
        <w:t xml:space="preserve"> </w:t>
      </w:r>
      <w:r w:rsidR="003D6F48" w:rsidRPr="003D6F48">
        <w:rPr>
          <w:rFonts w:ascii="Garamond" w:hAnsi="Garamond"/>
          <w:sz w:val="24"/>
          <w:szCs w:val="24"/>
        </w:rPr>
        <w:t>The Ministry of Finance and Economic Cooperation (MOFEC) has been accredited</w:t>
      </w:r>
      <w:r w:rsidR="003A0B7F">
        <w:rPr>
          <w:rFonts w:ascii="Garamond" w:hAnsi="Garamond"/>
          <w:sz w:val="24"/>
          <w:szCs w:val="24"/>
        </w:rPr>
        <w:t xml:space="preserve"> by the Green Climate Fund (GCF) in 2016</w:t>
      </w:r>
      <w:r w:rsidR="003D6F48" w:rsidRPr="003D6F48">
        <w:rPr>
          <w:rFonts w:ascii="Garamond" w:hAnsi="Garamond"/>
          <w:sz w:val="24"/>
          <w:szCs w:val="24"/>
        </w:rPr>
        <w:t xml:space="preserve"> to directly access external resources of small size projects </w:t>
      </w:r>
      <w:r w:rsidR="00A3217E">
        <w:rPr>
          <w:rFonts w:ascii="Garamond" w:hAnsi="Garamond"/>
          <w:sz w:val="24"/>
          <w:szCs w:val="24"/>
        </w:rPr>
        <w:t xml:space="preserve">with a total project </w:t>
      </w:r>
      <w:r w:rsidR="003A0B7F">
        <w:rPr>
          <w:rFonts w:ascii="Garamond" w:hAnsi="Garamond"/>
          <w:sz w:val="24"/>
          <w:szCs w:val="24"/>
        </w:rPr>
        <w:t xml:space="preserve">of </w:t>
      </w:r>
      <w:r w:rsidR="003A0B7F" w:rsidRPr="003D6F48">
        <w:rPr>
          <w:rFonts w:ascii="Garamond" w:hAnsi="Garamond"/>
          <w:sz w:val="24"/>
          <w:szCs w:val="24"/>
        </w:rPr>
        <w:t>up</w:t>
      </w:r>
      <w:r w:rsidR="003D6F48" w:rsidRPr="003D6F48">
        <w:rPr>
          <w:rFonts w:ascii="Garamond" w:hAnsi="Garamond"/>
          <w:sz w:val="24"/>
          <w:szCs w:val="24"/>
        </w:rPr>
        <w:t xml:space="preserve"> to USD 50 million.</w:t>
      </w:r>
      <w:r w:rsidR="003A0B7F">
        <w:rPr>
          <w:rFonts w:ascii="Garamond" w:hAnsi="Garamond"/>
          <w:sz w:val="24"/>
          <w:szCs w:val="24"/>
        </w:rPr>
        <w:t xml:space="preserve"> MoFEC has submitted two </w:t>
      </w:r>
      <w:r w:rsidR="000E0539">
        <w:rPr>
          <w:rFonts w:ascii="Garamond" w:hAnsi="Garamond"/>
          <w:sz w:val="24"/>
          <w:szCs w:val="24"/>
        </w:rPr>
        <w:t xml:space="preserve">investment </w:t>
      </w:r>
      <w:r w:rsidR="003A0B7F">
        <w:rPr>
          <w:rFonts w:ascii="Garamond" w:hAnsi="Garamond"/>
          <w:sz w:val="24"/>
          <w:szCs w:val="24"/>
        </w:rPr>
        <w:t xml:space="preserve">projects to Adaptation Fund (USD 10 million) and GCF (USD 50 million). </w:t>
      </w:r>
      <w:r w:rsidR="0024246B">
        <w:rPr>
          <w:rFonts w:ascii="Garamond" w:hAnsi="Garamond"/>
          <w:sz w:val="24"/>
          <w:szCs w:val="24"/>
        </w:rPr>
        <w:t xml:space="preserve">There are also other projects under preparation to be submitted to GCF. </w:t>
      </w:r>
      <w:r w:rsidR="007130F8">
        <w:rPr>
          <w:rFonts w:ascii="Garamond" w:hAnsi="Garamond"/>
          <w:sz w:val="24"/>
          <w:szCs w:val="24"/>
        </w:rPr>
        <w:t xml:space="preserve"> </w:t>
      </w:r>
    </w:p>
    <w:p w:rsidR="00F126AF" w:rsidRDefault="00A94AC3" w:rsidP="00660008">
      <w:pPr>
        <w:spacing w:after="0" w:line="240" w:lineRule="auto"/>
        <w:jc w:val="both"/>
        <w:rPr>
          <w:rFonts w:ascii="Garamond" w:eastAsiaTheme="minorHAnsi" w:hAnsi="Garamond" w:cs="MyriadPro-Regular"/>
          <w:sz w:val="24"/>
          <w:szCs w:val="24"/>
        </w:rPr>
      </w:pPr>
      <w:r w:rsidRPr="00A94AC3">
        <w:rPr>
          <w:rFonts w:ascii="Garamond" w:hAnsi="Garamond"/>
          <w:sz w:val="24"/>
          <w:szCs w:val="24"/>
        </w:rPr>
        <w:t>The Ministry of Finance and Economic Cooperation (MOFEC) in collaboration with relevant institutions has the responsibility</w:t>
      </w:r>
      <w:r w:rsidR="0024246B">
        <w:rPr>
          <w:rFonts w:ascii="Garamond" w:hAnsi="Garamond"/>
          <w:sz w:val="24"/>
          <w:szCs w:val="24"/>
        </w:rPr>
        <w:t xml:space="preserve"> to mobilize</w:t>
      </w:r>
      <w:r w:rsidRPr="00A94AC3">
        <w:rPr>
          <w:rFonts w:ascii="Garamond" w:hAnsi="Garamond"/>
          <w:sz w:val="24"/>
          <w:szCs w:val="24"/>
        </w:rPr>
        <w:t xml:space="preserve"> finance from domestic and international sources, allocate to key CRGE sectors and ensure effective and efficient use thereof. Between 2010 and 2014, the government of Ethiopia has mobilized over </w:t>
      </w:r>
      <w:r w:rsidR="00D402A7" w:rsidRPr="00A94AC3">
        <w:rPr>
          <w:rFonts w:ascii="Garamond" w:hAnsi="Garamond"/>
          <w:sz w:val="24"/>
          <w:szCs w:val="24"/>
        </w:rPr>
        <w:t xml:space="preserve">USD </w:t>
      </w:r>
      <w:r w:rsidRPr="00A94AC3">
        <w:rPr>
          <w:rFonts w:ascii="Garamond" w:hAnsi="Garamond"/>
          <w:sz w:val="24"/>
          <w:szCs w:val="24"/>
        </w:rPr>
        <w:t>450 million from bilateral and multilateral development partners.</w:t>
      </w:r>
      <w:r w:rsidR="00660008">
        <w:rPr>
          <w:rFonts w:ascii="Garamond" w:hAnsi="Garamond"/>
          <w:sz w:val="24"/>
          <w:szCs w:val="24"/>
        </w:rPr>
        <w:t xml:space="preserve"> </w:t>
      </w:r>
      <w:r w:rsidR="00D402A7" w:rsidRPr="00660008">
        <w:rPr>
          <w:rFonts w:ascii="Garamond" w:eastAsiaTheme="minorHAnsi" w:hAnsi="Garamond" w:cs="MyriadPro-Regular"/>
          <w:sz w:val="24"/>
          <w:szCs w:val="24"/>
        </w:rPr>
        <w:t xml:space="preserve">In addition, the UN-REDD Readiness Programme (United Nations Programme on Reducing Emissions from Deforestation and Forest Degradation) is also a funding source for climate change mitigation through forestry and land use change. </w:t>
      </w:r>
      <w:r w:rsidR="00660008" w:rsidRPr="00660008">
        <w:rPr>
          <w:rFonts w:ascii="Garamond" w:hAnsi="Garamond" w:cs="Arial"/>
          <w:color w:val="262626"/>
          <w:sz w:val="24"/>
          <w:szCs w:val="24"/>
        </w:rPr>
        <w:t xml:space="preserve">Ethiopia is a participant country of the World Bank Forest Carbon </w:t>
      </w:r>
      <w:r w:rsidR="00660008" w:rsidRPr="00660008">
        <w:rPr>
          <w:rFonts w:ascii="Garamond" w:eastAsiaTheme="minorHAnsi" w:hAnsi="Garamond" w:cs="MyriadPro-Regular"/>
          <w:sz w:val="24"/>
          <w:szCs w:val="24"/>
        </w:rPr>
        <w:t>Partnership Facility (FCPF) and the national REDD+ programme is funded through the FCPF Readiness Fund. In October 2012</w:t>
      </w:r>
      <w:r w:rsidR="0024246B">
        <w:rPr>
          <w:rFonts w:ascii="Garamond" w:eastAsiaTheme="minorHAnsi" w:hAnsi="Garamond" w:cs="MyriadPro-Regular"/>
          <w:sz w:val="24"/>
          <w:szCs w:val="24"/>
        </w:rPr>
        <w:t>,</w:t>
      </w:r>
      <w:r w:rsidR="00660008" w:rsidRPr="00660008">
        <w:rPr>
          <w:rFonts w:ascii="Garamond" w:eastAsiaTheme="minorHAnsi" w:hAnsi="Garamond" w:cs="MyriadPro-Regular"/>
          <w:sz w:val="24"/>
          <w:szCs w:val="24"/>
        </w:rPr>
        <w:t xml:space="preserve"> the FCPF approved a Readiness preparation grant of USD 3.6 million. </w:t>
      </w:r>
      <w:r w:rsidR="009928BD">
        <w:rPr>
          <w:rFonts w:ascii="Garamond" w:eastAsiaTheme="minorHAnsi" w:hAnsi="Garamond" w:cs="MyriadPro-Regular"/>
          <w:sz w:val="24"/>
          <w:szCs w:val="24"/>
        </w:rPr>
        <w:t xml:space="preserve">Recently, </w:t>
      </w:r>
      <w:r w:rsidR="00ED0229">
        <w:rPr>
          <w:rFonts w:ascii="Garamond" w:eastAsiaTheme="minorHAnsi" w:hAnsi="Garamond" w:cs="MyriadPro-Regular"/>
          <w:sz w:val="24"/>
          <w:szCs w:val="24"/>
        </w:rPr>
        <w:t xml:space="preserve">Ethiopia received </w:t>
      </w:r>
      <w:r w:rsidR="009928BD">
        <w:rPr>
          <w:rFonts w:ascii="Garamond" w:eastAsiaTheme="minorHAnsi" w:hAnsi="Garamond" w:cs="MyriadPro-Regular"/>
          <w:sz w:val="24"/>
          <w:szCs w:val="24"/>
        </w:rPr>
        <w:t>about USD 1</w:t>
      </w:r>
      <w:r w:rsidR="00207C1A">
        <w:rPr>
          <w:rFonts w:ascii="Garamond" w:eastAsiaTheme="minorHAnsi" w:hAnsi="Garamond" w:cs="MyriadPro-Regular"/>
          <w:sz w:val="24"/>
          <w:szCs w:val="24"/>
        </w:rPr>
        <w:t>18</w:t>
      </w:r>
      <w:r w:rsidR="009928BD">
        <w:rPr>
          <w:rFonts w:ascii="Garamond" w:eastAsiaTheme="minorHAnsi" w:hAnsi="Garamond" w:cs="MyriadPro-Regular"/>
          <w:sz w:val="24"/>
          <w:szCs w:val="24"/>
        </w:rPr>
        <w:t xml:space="preserve"> million </w:t>
      </w:r>
      <w:r w:rsidR="00ED0229">
        <w:rPr>
          <w:rFonts w:ascii="Garamond" w:eastAsiaTheme="minorHAnsi" w:hAnsi="Garamond" w:cs="MyriadPro-Regular"/>
          <w:sz w:val="24"/>
          <w:szCs w:val="24"/>
        </w:rPr>
        <w:t>through REDD+</w:t>
      </w:r>
      <w:r w:rsidR="00C8730E">
        <w:rPr>
          <w:rFonts w:ascii="Garamond" w:eastAsiaTheme="minorHAnsi" w:hAnsi="Garamond" w:cs="MyriadPro-Regular"/>
          <w:sz w:val="24"/>
          <w:szCs w:val="24"/>
        </w:rPr>
        <w:t xml:space="preserve"> programme</w:t>
      </w:r>
      <w:r w:rsidR="002F36F9">
        <w:rPr>
          <w:rFonts w:ascii="Garamond" w:eastAsiaTheme="minorHAnsi" w:hAnsi="Garamond" w:cs="MyriadPro-Regular"/>
          <w:sz w:val="24"/>
          <w:szCs w:val="24"/>
        </w:rPr>
        <w:t xml:space="preserve"> from </w:t>
      </w:r>
      <w:r w:rsidR="0024246B">
        <w:rPr>
          <w:rFonts w:ascii="Garamond" w:eastAsiaTheme="minorHAnsi" w:hAnsi="Garamond" w:cs="MyriadPro-Regular"/>
          <w:sz w:val="24"/>
          <w:szCs w:val="24"/>
        </w:rPr>
        <w:t xml:space="preserve">the </w:t>
      </w:r>
      <w:r w:rsidR="002F36F9">
        <w:rPr>
          <w:rFonts w:ascii="Garamond" w:eastAsiaTheme="minorHAnsi" w:hAnsi="Garamond" w:cs="MyriadPro-Regular"/>
          <w:sz w:val="24"/>
          <w:szCs w:val="24"/>
        </w:rPr>
        <w:t xml:space="preserve">World Bank and Norway to support </w:t>
      </w:r>
      <w:r w:rsidR="00386556">
        <w:rPr>
          <w:rFonts w:ascii="Garamond" w:eastAsiaTheme="minorHAnsi" w:hAnsi="Garamond" w:cs="MyriadPro-Regular"/>
          <w:sz w:val="24"/>
          <w:szCs w:val="24"/>
        </w:rPr>
        <w:t>investment in forest</w:t>
      </w:r>
      <w:r w:rsidR="00ED0229">
        <w:rPr>
          <w:rFonts w:ascii="Garamond" w:eastAsiaTheme="minorHAnsi" w:hAnsi="Garamond" w:cs="MyriadPro-Regular"/>
          <w:sz w:val="24"/>
          <w:szCs w:val="24"/>
        </w:rPr>
        <w:t>.</w:t>
      </w:r>
    </w:p>
    <w:p w:rsidR="00660008" w:rsidRPr="00660008" w:rsidRDefault="00F126AF" w:rsidP="00660008">
      <w:pPr>
        <w:spacing w:after="0" w:line="240" w:lineRule="auto"/>
        <w:jc w:val="both"/>
        <w:rPr>
          <w:rFonts w:ascii="Garamond" w:eastAsiaTheme="minorHAnsi" w:hAnsi="Garamond" w:cs="MyriadPro-Regular"/>
          <w:sz w:val="24"/>
          <w:szCs w:val="24"/>
        </w:rPr>
      </w:pPr>
      <w:r>
        <w:rPr>
          <w:rFonts w:ascii="Garamond" w:eastAsiaTheme="minorHAnsi" w:hAnsi="Garamond" w:cs="MyriadPro-Regular"/>
          <w:sz w:val="24"/>
          <w:szCs w:val="24"/>
        </w:rPr>
        <w:t xml:space="preserve">Note that external climate finance flow to the country is likely to be large, but data is difficult to gather as a comprehensive database is lacking to track climate related external finance flow in the country.   </w:t>
      </w:r>
    </w:p>
    <w:p w:rsidR="00A40466" w:rsidRPr="00660008" w:rsidRDefault="00A40466" w:rsidP="00660008">
      <w:pPr>
        <w:spacing w:after="0" w:line="240" w:lineRule="auto"/>
        <w:jc w:val="both"/>
        <w:rPr>
          <w:rFonts w:ascii="Garamond" w:hAnsi="Garamond"/>
          <w:sz w:val="24"/>
          <w:szCs w:val="24"/>
        </w:rPr>
      </w:pPr>
    </w:p>
    <w:p w:rsidR="00950980" w:rsidRDefault="00A3174C" w:rsidP="008B7446">
      <w:pPr>
        <w:autoSpaceDE w:val="0"/>
        <w:autoSpaceDN w:val="0"/>
        <w:adjustRightInd w:val="0"/>
        <w:spacing w:after="0" w:line="240" w:lineRule="auto"/>
        <w:jc w:val="both"/>
        <w:rPr>
          <w:rFonts w:ascii="Garamond" w:hAnsi="Garamond"/>
          <w:sz w:val="24"/>
          <w:szCs w:val="24"/>
        </w:rPr>
      </w:pPr>
      <w:r>
        <w:rPr>
          <w:rFonts w:ascii="Garamond" w:hAnsi="Garamond"/>
          <w:sz w:val="24"/>
          <w:szCs w:val="24"/>
        </w:rPr>
        <w:t>T</w:t>
      </w:r>
      <w:r w:rsidR="00867151" w:rsidRPr="00C86F93">
        <w:rPr>
          <w:rFonts w:ascii="Garamond" w:hAnsi="Garamond"/>
          <w:sz w:val="24"/>
          <w:szCs w:val="24"/>
        </w:rPr>
        <w:t>he government of Ethiopia will need to continue its scaling-up of public expenditures</w:t>
      </w:r>
      <w:r w:rsidRPr="00A3174C">
        <w:rPr>
          <w:rFonts w:ascii="Garamond" w:hAnsi="Garamond"/>
          <w:sz w:val="24"/>
          <w:szCs w:val="24"/>
        </w:rPr>
        <w:t xml:space="preserve"> </w:t>
      </w:r>
      <w:r w:rsidRPr="00C86F93">
        <w:rPr>
          <w:rFonts w:ascii="Garamond" w:hAnsi="Garamond"/>
          <w:sz w:val="24"/>
          <w:szCs w:val="24"/>
        </w:rPr>
        <w:t xml:space="preserve">to deliver </w:t>
      </w:r>
      <w:r w:rsidRPr="00C86F93">
        <w:rPr>
          <w:rFonts w:ascii="Garamond" w:eastAsiaTheme="minorHAnsi" w:hAnsi="Garamond" w:cstheme="minorBidi"/>
          <w:sz w:val="24"/>
          <w:szCs w:val="24"/>
        </w:rPr>
        <w:t xml:space="preserve">transformational changes </w:t>
      </w:r>
      <w:r w:rsidR="00185DDB">
        <w:rPr>
          <w:rFonts w:ascii="Garamond" w:eastAsiaTheme="minorHAnsi" w:hAnsi="Garamond" w:cstheme="minorBidi"/>
          <w:sz w:val="24"/>
          <w:szCs w:val="24"/>
        </w:rPr>
        <w:t xml:space="preserve">and </w:t>
      </w:r>
      <w:r w:rsidRPr="00C86F93">
        <w:rPr>
          <w:rFonts w:ascii="Garamond" w:eastAsiaTheme="minorHAnsi" w:hAnsi="Garamond" w:cstheme="minorBidi"/>
          <w:sz w:val="24"/>
          <w:szCs w:val="24"/>
        </w:rPr>
        <w:t xml:space="preserve">to meet SDGs </w:t>
      </w:r>
      <w:r w:rsidRPr="00C86F93">
        <w:rPr>
          <w:rFonts w:ascii="Garamond" w:hAnsi="Garamond"/>
          <w:sz w:val="24"/>
          <w:szCs w:val="24"/>
        </w:rPr>
        <w:t>targets</w:t>
      </w:r>
      <w:r w:rsidR="00867151" w:rsidRPr="00C86F93">
        <w:rPr>
          <w:rFonts w:ascii="Garamond" w:hAnsi="Garamond"/>
          <w:sz w:val="24"/>
          <w:szCs w:val="24"/>
        </w:rPr>
        <w:t xml:space="preserve">. </w:t>
      </w:r>
      <w:r w:rsidR="00525330" w:rsidRPr="00610201">
        <w:rPr>
          <w:rFonts w:ascii="Garamond" w:hAnsi="Garamond"/>
          <w:sz w:val="24"/>
          <w:szCs w:val="24"/>
        </w:rPr>
        <w:t>The achievement of the</w:t>
      </w:r>
      <w:r w:rsidR="00185DDB">
        <w:rPr>
          <w:rFonts w:ascii="Garamond" w:hAnsi="Garamond"/>
          <w:sz w:val="24"/>
          <w:szCs w:val="24"/>
        </w:rPr>
        <w:t>se</w:t>
      </w:r>
      <w:r w:rsidR="00525330" w:rsidRPr="00610201">
        <w:rPr>
          <w:rFonts w:ascii="Garamond" w:hAnsi="Garamond"/>
          <w:sz w:val="24"/>
          <w:szCs w:val="24"/>
        </w:rPr>
        <w:t xml:space="preserve"> call</w:t>
      </w:r>
      <w:r w:rsidR="00185DDB">
        <w:rPr>
          <w:rFonts w:ascii="Garamond" w:hAnsi="Garamond"/>
          <w:sz w:val="24"/>
          <w:szCs w:val="24"/>
        </w:rPr>
        <w:t>s</w:t>
      </w:r>
      <w:r w:rsidR="00525330" w:rsidRPr="00610201">
        <w:rPr>
          <w:rFonts w:ascii="Garamond" w:hAnsi="Garamond"/>
          <w:sz w:val="24"/>
          <w:szCs w:val="24"/>
        </w:rPr>
        <w:t xml:space="preserve"> for utilizing </w:t>
      </w:r>
      <w:r w:rsidR="00BF31C6">
        <w:rPr>
          <w:rFonts w:ascii="Garamond" w:hAnsi="Garamond"/>
          <w:sz w:val="24"/>
          <w:szCs w:val="24"/>
        </w:rPr>
        <w:t>a</w:t>
      </w:r>
      <w:r w:rsidR="00525330" w:rsidRPr="00610201">
        <w:rPr>
          <w:rFonts w:ascii="Garamond" w:hAnsi="Garamond"/>
          <w:sz w:val="24"/>
          <w:szCs w:val="24"/>
        </w:rPr>
        <w:t xml:space="preserve"> combination of multiple sources and instruments of finance. </w:t>
      </w:r>
      <w:r w:rsidR="00867151" w:rsidRPr="00C86F93">
        <w:rPr>
          <w:rFonts w:ascii="Garamond" w:hAnsi="Garamond"/>
          <w:sz w:val="24"/>
          <w:szCs w:val="24"/>
        </w:rPr>
        <w:t xml:space="preserve">Considering the revenue trends and the increasingly grim outlook for </w:t>
      </w:r>
      <w:r w:rsidR="00525330">
        <w:rPr>
          <w:rFonts w:ascii="Garamond" w:hAnsi="Garamond"/>
          <w:sz w:val="24"/>
          <w:szCs w:val="24"/>
        </w:rPr>
        <w:t xml:space="preserve">external resource </w:t>
      </w:r>
      <w:r w:rsidR="00867151" w:rsidRPr="00C86F93">
        <w:rPr>
          <w:rFonts w:ascii="Garamond" w:hAnsi="Garamond"/>
          <w:sz w:val="24"/>
          <w:szCs w:val="24"/>
        </w:rPr>
        <w:t xml:space="preserve">inflows, </w:t>
      </w:r>
      <w:r w:rsidR="00026A96">
        <w:rPr>
          <w:rFonts w:ascii="Garamond" w:hAnsi="Garamond"/>
          <w:sz w:val="24"/>
          <w:szCs w:val="24"/>
        </w:rPr>
        <w:t xml:space="preserve">there is a need to look for </w:t>
      </w:r>
      <w:r w:rsidR="00867151" w:rsidRPr="00C86F93">
        <w:rPr>
          <w:rFonts w:ascii="Garamond" w:hAnsi="Garamond"/>
          <w:sz w:val="24"/>
          <w:szCs w:val="24"/>
        </w:rPr>
        <w:t xml:space="preserve">availability of potential </w:t>
      </w:r>
      <w:r>
        <w:rPr>
          <w:rFonts w:ascii="Garamond" w:hAnsi="Garamond"/>
          <w:sz w:val="24"/>
          <w:szCs w:val="24"/>
        </w:rPr>
        <w:t>‘</w:t>
      </w:r>
      <w:r w:rsidR="00867151" w:rsidRPr="00C86F93">
        <w:rPr>
          <w:rFonts w:ascii="Garamond" w:hAnsi="Garamond"/>
          <w:sz w:val="24"/>
          <w:szCs w:val="24"/>
        </w:rPr>
        <w:t>non-traditional</w:t>
      </w:r>
      <w:r>
        <w:rPr>
          <w:rFonts w:ascii="Garamond" w:hAnsi="Garamond"/>
          <w:sz w:val="24"/>
          <w:szCs w:val="24"/>
        </w:rPr>
        <w:t>’</w:t>
      </w:r>
      <w:r w:rsidR="00867151" w:rsidRPr="00C86F93">
        <w:rPr>
          <w:rFonts w:ascii="Garamond" w:hAnsi="Garamond"/>
          <w:sz w:val="24"/>
          <w:szCs w:val="24"/>
        </w:rPr>
        <w:t xml:space="preserve"> </w:t>
      </w:r>
      <w:r w:rsidR="00026A96">
        <w:rPr>
          <w:rFonts w:ascii="Garamond" w:hAnsi="Garamond"/>
          <w:sz w:val="24"/>
          <w:szCs w:val="24"/>
        </w:rPr>
        <w:t xml:space="preserve">financial </w:t>
      </w:r>
      <w:r w:rsidR="00867151" w:rsidRPr="00C86F93">
        <w:rPr>
          <w:rFonts w:ascii="Garamond" w:hAnsi="Garamond"/>
          <w:sz w:val="24"/>
          <w:szCs w:val="24"/>
        </w:rPr>
        <w:t xml:space="preserve">resources that will help Ethiopia sustainably finance </w:t>
      </w:r>
      <w:r w:rsidR="00026A96">
        <w:rPr>
          <w:rFonts w:ascii="Garamond" w:hAnsi="Garamond"/>
          <w:sz w:val="24"/>
          <w:szCs w:val="24"/>
        </w:rPr>
        <w:t xml:space="preserve">its </w:t>
      </w:r>
      <w:r w:rsidR="00867151" w:rsidRPr="00C86F93">
        <w:rPr>
          <w:rFonts w:ascii="Garamond" w:hAnsi="Garamond"/>
          <w:sz w:val="24"/>
          <w:szCs w:val="24"/>
        </w:rPr>
        <w:t xml:space="preserve">development </w:t>
      </w:r>
      <w:r w:rsidR="00026A96">
        <w:rPr>
          <w:rFonts w:ascii="Garamond" w:hAnsi="Garamond"/>
          <w:sz w:val="24"/>
          <w:szCs w:val="24"/>
        </w:rPr>
        <w:t>interventions</w:t>
      </w:r>
      <w:r w:rsidR="00867151" w:rsidRPr="00C86F93">
        <w:rPr>
          <w:rFonts w:ascii="Garamond" w:hAnsi="Garamond"/>
          <w:sz w:val="24"/>
          <w:szCs w:val="24"/>
        </w:rPr>
        <w:t xml:space="preserve">. </w:t>
      </w:r>
      <w:r w:rsidR="00950980">
        <w:rPr>
          <w:rFonts w:ascii="Garamond" w:hAnsi="Garamond"/>
          <w:sz w:val="24"/>
          <w:szCs w:val="24"/>
        </w:rPr>
        <w:t>In light of this, it</w:t>
      </w:r>
      <w:r w:rsidR="00950980" w:rsidRPr="00950980">
        <w:rPr>
          <w:rFonts w:ascii="Garamond" w:hAnsi="Garamond"/>
          <w:sz w:val="24"/>
          <w:szCs w:val="24"/>
        </w:rPr>
        <w:t xml:space="preserve"> is </w:t>
      </w:r>
      <w:r w:rsidR="00950980">
        <w:rPr>
          <w:rFonts w:ascii="Garamond" w:hAnsi="Garamond"/>
          <w:sz w:val="24"/>
          <w:szCs w:val="24"/>
        </w:rPr>
        <w:t xml:space="preserve">necessary </w:t>
      </w:r>
      <w:r w:rsidR="00950980" w:rsidRPr="00950980">
        <w:rPr>
          <w:rFonts w:ascii="Garamond" w:hAnsi="Garamond"/>
          <w:sz w:val="24"/>
          <w:szCs w:val="24"/>
        </w:rPr>
        <w:t xml:space="preserve">for </w:t>
      </w:r>
      <w:r w:rsidR="00950980">
        <w:rPr>
          <w:rFonts w:ascii="Garamond" w:hAnsi="Garamond"/>
          <w:sz w:val="24"/>
          <w:szCs w:val="24"/>
        </w:rPr>
        <w:t xml:space="preserve">Ethiopia </w:t>
      </w:r>
      <w:r w:rsidR="00950980" w:rsidRPr="00950980">
        <w:rPr>
          <w:rFonts w:ascii="Garamond" w:hAnsi="Garamond"/>
          <w:sz w:val="24"/>
          <w:szCs w:val="24"/>
        </w:rPr>
        <w:t xml:space="preserve">to examine </w:t>
      </w:r>
      <w:r w:rsidR="00950980">
        <w:rPr>
          <w:rFonts w:ascii="Garamond" w:hAnsi="Garamond"/>
          <w:sz w:val="24"/>
          <w:szCs w:val="24"/>
        </w:rPr>
        <w:t xml:space="preserve">its </w:t>
      </w:r>
      <w:r w:rsidR="00950980" w:rsidRPr="00950980">
        <w:rPr>
          <w:rFonts w:ascii="Garamond" w:hAnsi="Garamond"/>
          <w:sz w:val="24"/>
          <w:szCs w:val="24"/>
        </w:rPr>
        <w:t xml:space="preserve">financing framework and consider </w:t>
      </w:r>
      <w:r w:rsidR="003874EA">
        <w:rPr>
          <w:rFonts w:ascii="Garamond" w:hAnsi="Garamond"/>
          <w:sz w:val="24"/>
          <w:szCs w:val="24"/>
        </w:rPr>
        <w:t>other sources of financing to deliver its development aspirations.</w:t>
      </w:r>
    </w:p>
    <w:p w:rsidR="00AB49C9" w:rsidRDefault="00AB49C9" w:rsidP="008B7446">
      <w:pPr>
        <w:autoSpaceDE w:val="0"/>
        <w:autoSpaceDN w:val="0"/>
        <w:adjustRightInd w:val="0"/>
        <w:spacing w:after="0" w:line="240" w:lineRule="auto"/>
        <w:jc w:val="both"/>
        <w:rPr>
          <w:rFonts w:ascii="Garamond" w:hAnsi="Garamond"/>
          <w:sz w:val="24"/>
          <w:szCs w:val="24"/>
        </w:rPr>
      </w:pPr>
    </w:p>
    <w:p w:rsidR="00AB49C9" w:rsidRDefault="00AB49C9" w:rsidP="00AB49C9">
      <w:pPr>
        <w:pStyle w:val="Heading2"/>
        <w:rPr>
          <w:rFonts w:ascii="Garamond" w:eastAsia="Times New Roman" w:hAnsi="Garamond"/>
          <w:b/>
          <w:sz w:val="24"/>
          <w:szCs w:val="24"/>
        </w:rPr>
      </w:pPr>
      <w:bookmarkStart w:id="90" w:name="_Toc486782281"/>
      <w:r w:rsidRPr="00AB49C9">
        <w:rPr>
          <w:rFonts w:ascii="Garamond" w:eastAsia="Times New Roman" w:hAnsi="Garamond"/>
          <w:b/>
          <w:sz w:val="24"/>
          <w:szCs w:val="24"/>
        </w:rPr>
        <w:t>6.6 South-South Cooperation (SSC)</w:t>
      </w:r>
      <w:bookmarkEnd w:id="90"/>
    </w:p>
    <w:p w:rsidR="00F776C5" w:rsidRDefault="007F2200" w:rsidP="007F2200">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Ethiopia </w:t>
      </w:r>
      <w:r w:rsidRPr="007F2200">
        <w:rPr>
          <w:rFonts w:ascii="Garamond" w:hAnsi="Garamond"/>
          <w:sz w:val="24"/>
          <w:szCs w:val="24"/>
        </w:rPr>
        <w:t xml:space="preserve">maintains strong development cooperation with many non-traditional donors such as China, India, Kuwait, </w:t>
      </w:r>
      <w:r w:rsidR="00073887">
        <w:rPr>
          <w:rFonts w:ascii="Garamond" w:hAnsi="Garamond"/>
          <w:sz w:val="24"/>
          <w:szCs w:val="24"/>
        </w:rPr>
        <w:t>Brazil,</w:t>
      </w:r>
      <w:r w:rsidRPr="007F2200">
        <w:rPr>
          <w:rFonts w:ascii="Garamond" w:hAnsi="Garamond"/>
          <w:sz w:val="24"/>
          <w:szCs w:val="24"/>
        </w:rPr>
        <w:t xml:space="preserve"> Saudi Arabia, Turkey and United Arab Emirates. It has also developed strong re</w:t>
      </w:r>
      <w:r w:rsidR="00073887">
        <w:rPr>
          <w:rFonts w:ascii="Garamond" w:hAnsi="Garamond"/>
          <w:sz w:val="24"/>
          <w:szCs w:val="24"/>
        </w:rPr>
        <w:t>lations from traditional donors</w:t>
      </w:r>
      <w:r w:rsidRPr="007F2200">
        <w:rPr>
          <w:rFonts w:ascii="Garamond" w:hAnsi="Garamond"/>
          <w:sz w:val="24"/>
          <w:szCs w:val="24"/>
        </w:rPr>
        <w:t>, namely Japan and Republic of Korea</w:t>
      </w:r>
      <w:r w:rsidR="00073887">
        <w:rPr>
          <w:rFonts w:ascii="Garamond" w:hAnsi="Garamond"/>
          <w:sz w:val="24"/>
          <w:szCs w:val="24"/>
        </w:rPr>
        <w:t>.</w:t>
      </w:r>
      <w:r w:rsidRPr="007F2200">
        <w:rPr>
          <w:rFonts w:ascii="Garamond" w:hAnsi="Garamond"/>
          <w:sz w:val="24"/>
          <w:szCs w:val="24"/>
        </w:rPr>
        <w:t xml:space="preserve"> Since 20</w:t>
      </w:r>
      <w:r w:rsidR="00E95260">
        <w:rPr>
          <w:rFonts w:ascii="Garamond" w:hAnsi="Garamond"/>
          <w:sz w:val="24"/>
          <w:szCs w:val="24"/>
        </w:rPr>
        <w:t>1</w:t>
      </w:r>
      <w:r w:rsidRPr="007F2200">
        <w:rPr>
          <w:rFonts w:ascii="Garamond" w:hAnsi="Garamond"/>
          <w:sz w:val="24"/>
          <w:szCs w:val="24"/>
        </w:rPr>
        <w:t>1</w:t>
      </w:r>
      <w:r w:rsidR="00E95260">
        <w:rPr>
          <w:rFonts w:ascii="Garamond" w:hAnsi="Garamond"/>
          <w:sz w:val="24"/>
          <w:szCs w:val="24"/>
        </w:rPr>
        <w:t>/12</w:t>
      </w:r>
      <w:r w:rsidRPr="007F2200">
        <w:rPr>
          <w:rFonts w:ascii="Garamond" w:hAnsi="Garamond"/>
          <w:sz w:val="24"/>
          <w:szCs w:val="24"/>
        </w:rPr>
        <w:t xml:space="preserve">, </w:t>
      </w:r>
      <w:r w:rsidR="00E95260">
        <w:rPr>
          <w:rFonts w:ascii="Garamond" w:hAnsi="Garamond"/>
          <w:sz w:val="24"/>
          <w:szCs w:val="24"/>
        </w:rPr>
        <w:t xml:space="preserve">Ethiopia </w:t>
      </w:r>
      <w:r w:rsidRPr="007F2200">
        <w:rPr>
          <w:rFonts w:ascii="Garamond" w:hAnsi="Garamond"/>
          <w:sz w:val="24"/>
          <w:szCs w:val="24"/>
        </w:rPr>
        <w:t xml:space="preserve">has mobilized </w:t>
      </w:r>
      <w:r w:rsidR="00E95260">
        <w:rPr>
          <w:rFonts w:ascii="Garamond" w:hAnsi="Garamond"/>
          <w:sz w:val="24"/>
          <w:szCs w:val="24"/>
        </w:rPr>
        <w:t xml:space="preserve">USD 1.75 </w:t>
      </w:r>
      <w:r w:rsidRPr="007F2200">
        <w:rPr>
          <w:rFonts w:ascii="Garamond" w:hAnsi="Garamond"/>
          <w:sz w:val="24"/>
          <w:szCs w:val="24"/>
        </w:rPr>
        <w:t xml:space="preserve">billion through official assistance from </w:t>
      </w:r>
      <w:r w:rsidR="00E95260">
        <w:rPr>
          <w:rFonts w:ascii="Garamond" w:hAnsi="Garamond"/>
          <w:sz w:val="24"/>
          <w:szCs w:val="24"/>
        </w:rPr>
        <w:t>China, India, Kuwait and Saudi Arabia. The financial linkage with these countries is mainly in the form of loans (1.74 b</w:t>
      </w:r>
      <w:r w:rsidR="00E95260" w:rsidRPr="007F2200">
        <w:rPr>
          <w:rFonts w:ascii="Garamond" w:hAnsi="Garamond"/>
          <w:sz w:val="24"/>
          <w:szCs w:val="24"/>
        </w:rPr>
        <w:t>illion</w:t>
      </w:r>
      <w:r w:rsidR="00E95260">
        <w:rPr>
          <w:rFonts w:ascii="Garamond" w:hAnsi="Garamond"/>
          <w:sz w:val="24"/>
          <w:szCs w:val="24"/>
        </w:rPr>
        <w:t>) with small grant element (USD 8.2 m</w:t>
      </w:r>
      <w:r w:rsidRPr="007F2200">
        <w:rPr>
          <w:rFonts w:ascii="Garamond" w:hAnsi="Garamond"/>
          <w:sz w:val="24"/>
          <w:szCs w:val="24"/>
        </w:rPr>
        <w:t>illion</w:t>
      </w:r>
      <w:r w:rsidR="00E95260">
        <w:rPr>
          <w:rFonts w:ascii="Garamond" w:hAnsi="Garamond"/>
          <w:sz w:val="24"/>
          <w:szCs w:val="24"/>
        </w:rPr>
        <w:t xml:space="preserve">). </w:t>
      </w:r>
    </w:p>
    <w:p w:rsidR="00B218FF" w:rsidRDefault="00B218FF" w:rsidP="00B218FF">
      <w:pPr>
        <w:autoSpaceDE w:val="0"/>
        <w:autoSpaceDN w:val="0"/>
        <w:adjustRightInd w:val="0"/>
        <w:spacing w:after="0" w:line="240" w:lineRule="auto"/>
        <w:jc w:val="both"/>
        <w:rPr>
          <w:rFonts w:ascii="Garamond" w:eastAsiaTheme="minorHAnsi" w:hAnsi="Garamond" w:cs="MyriadPro-Regular"/>
          <w:sz w:val="24"/>
          <w:szCs w:val="24"/>
          <w:lang w:val="en-GB"/>
        </w:rPr>
      </w:pPr>
      <w:r w:rsidRPr="00B218FF">
        <w:rPr>
          <w:rFonts w:ascii="Garamond" w:eastAsiaTheme="minorHAnsi" w:hAnsi="Garamond" w:cs="MyriadPro-Regular"/>
          <w:sz w:val="24"/>
          <w:szCs w:val="24"/>
          <w:lang w:val="en-GB"/>
        </w:rPr>
        <w:t xml:space="preserve">The </w:t>
      </w:r>
      <w:r>
        <w:rPr>
          <w:rFonts w:ascii="Garamond" w:eastAsiaTheme="minorHAnsi" w:hAnsi="Garamond" w:cs="MyriadPro-Regular"/>
          <w:sz w:val="24"/>
          <w:szCs w:val="24"/>
          <w:lang w:val="en-GB"/>
        </w:rPr>
        <w:t xml:space="preserve">Ministry of Finance and Economic Cooperation through its </w:t>
      </w:r>
      <w:r w:rsidRPr="00B218FF">
        <w:rPr>
          <w:rFonts w:ascii="Garamond" w:eastAsiaTheme="minorHAnsi" w:hAnsi="Garamond" w:cs="MyriadPro-Regular"/>
          <w:sz w:val="24"/>
          <w:szCs w:val="24"/>
          <w:lang w:val="en-GB"/>
        </w:rPr>
        <w:t xml:space="preserve">Economic </w:t>
      </w:r>
      <w:r>
        <w:rPr>
          <w:rFonts w:ascii="Garamond" w:eastAsiaTheme="minorHAnsi" w:hAnsi="Garamond" w:cs="MyriadPro-Regular"/>
          <w:sz w:val="24"/>
          <w:szCs w:val="24"/>
          <w:lang w:val="en-GB"/>
        </w:rPr>
        <w:t xml:space="preserve">Cooperation wing </w:t>
      </w:r>
      <w:r w:rsidRPr="00B218FF">
        <w:rPr>
          <w:rFonts w:ascii="Garamond" w:eastAsiaTheme="minorHAnsi" w:hAnsi="Garamond" w:cs="MyriadPro-Regular"/>
          <w:sz w:val="24"/>
          <w:szCs w:val="24"/>
          <w:lang w:val="en-GB"/>
        </w:rPr>
        <w:t xml:space="preserve">maintains external economic relations and resources, including with countries from the Global South. </w:t>
      </w:r>
      <w:r w:rsidR="00E95260">
        <w:rPr>
          <w:rFonts w:ascii="Garamond" w:eastAsiaTheme="minorHAnsi" w:hAnsi="Garamond" w:cs="MyriadPro-Regular"/>
          <w:sz w:val="24"/>
          <w:szCs w:val="24"/>
          <w:lang w:val="en-GB"/>
        </w:rPr>
        <w:t>Ethiopia</w:t>
      </w:r>
      <w:r w:rsidRPr="00B218FF">
        <w:rPr>
          <w:rFonts w:ascii="Garamond" w:eastAsiaTheme="minorHAnsi" w:hAnsi="Garamond" w:cs="MyriadPro-Regular"/>
          <w:sz w:val="24"/>
          <w:szCs w:val="24"/>
          <w:lang w:val="en-GB"/>
        </w:rPr>
        <w:t xml:space="preserve"> is pursuing SSC through the following mechanisms:</w:t>
      </w:r>
    </w:p>
    <w:p w:rsidR="00B218FF" w:rsidRPr="006A5FB8" w:rsidRDefault="00B218FF" w:rsidP="006A5FB8">
      <w:pPr>
        <w:spacing w:after="120" w:line="240" w:lineRule="auto"/>
        <w:jc w:val="both"/>
        <w:rPr>
          <w:rFonts w:ascii="Garamond" w:eastAsiaTheme="minorHAnsi" w:hAnsi="Garamond" w:cs="MyriadPro-Bold"/>
          <w:b/>
          <w:bCs/>
          <w:color w:val="00243D"/>
          <w:sz w:val="24"/>
          <w:szCs w:val="24"/>
          <w:lang w:val="en-GB"/>
        </w:rPr>
      </w:pPr>
      <w:r w:rsidRPr="006A5FB8">
        <w:rPr>
          <w:rFonts w:ascii="Garamond" w:eastAsiaTheme="minorHAnsi" w:hAnsi="Garamond" w:cs="MyriadPro-Bold"/>
          <w:b/>
          <w:bCs/>
          <w:color w:val="00243D"/>
          <w:sz w:val="24"/>
          <w:szCs w:val="24"/>
          <w:lang w:val="en-GB"/>
        </w:rPr>
        <w:t xml:space="preserve">(i) Regional </w:t>
      </w:r>
      <w:r w:rsidR="00E10DA9" w:rsidRPr="006A5FB8">
        <w:rPr>
          <w:rFonts w:ascii="Garamond" w:eastAsiaTheme="minorHAnsi" w:hAnsi="Garamond" w:cs="MyriadPro-Bold"/>
          <w:b/>
          <w:bCs/>
          <w:color w:val="00243D"/>
          <w:sz w:val="24"/>
          <w:szCs w:val="24"/>
          <w:lang w:val="en-GB"/>
        </w:rPr>
        <w:t>t</w:t>
      </w:r>
      <w:r w:rsidRPr="006A5FB8">
        <w:rPr>
          <w:rFonts w:ascii="Garamond" w:eastAsiaTheme="minorHAnsi" w:hAnsi="Garamond" w:cs="MyriadPro-Bold"/>
          <w:b/>
          <w:bCs/>
          <w:color w:val="00243D"/>
          <w:sz w:val="24"/>
          <w:szCs w:val="24"/>
          <w:lang w:val="en-GB"/>
        </w:rPr>
        <w:t>rading Arrangements</w:t>
      </w:r>
    </w:p>
    <w:p w:rsidR="001D17C0" w:rsidRPr="006D23A4" w:rsidRDefault="008E6C3E" w:rsidP="001D17C0">
      <w:pPr>
        <w:spacing w:after="120" w:line="240" w:lineRule="auto"/>
        <w:jc w:val="both"/>
        <w:rPr>
          <w:rFonts w:ascii="Garamond" w:hAnsi="Garamond"/>
          <w:sz w:val="24"/>
          <w:szCs w:val="24"/>
        </w:rPr>
      </w:pPr>
      <w:r w:rsidRPr="00917AD7">
        <w:rPr>
          <w:rFonts w:ascii="Times New Roman" w:hAnsi="Times New Roman"/>
          <w:color w:val="000000" w:themeColor="text1"/>
          <w:sz w:val="24"/>
          <w:szCs w:val="24"/>
        </w:rPr>
        <w:t xml:space="preserve">Ethiopia is a member of different regional blocs which have, sometimes, different objectives. </w:t>
      </w:r>
      <w:r w:rsidRPr="001A7352">
        <w:rPr>
          <w:rFonts w:ascii="Times New Roman" w:hAnsi="Times New Roman"/>
          <w:color w:val="000000" w:themeColor="text1"/>
          <w:sz w:val="24"/>
          <w:szCs w:val="24"/>
        </w:rPr>
        <w:t>Due to its geographical location, Ethiopia is</w:t>
      </w:r>
      <w:r>
        <w:rPr>
          <w:rFonts w:ascii="Times New Roman" w:hAnsi="Times New Roman"/>
          <w:color w:val="000000" w:themeColor="text1"/>
          <w:sz w:val="24"/>
          <w:szCs w:val="24"/>
        </w:rPr>
        <w:t xml:space="preserve"> </w:t>
      </w:r>
      <w:r w:rsidRPr="001A7352">
        <w:rPr>
          <w:rFonts w:ascii="Times New Roman" w:hAnsi="Times New Roman"/>
          <w:sz w:val="24"/>
          <w:szCs w:val="24"/>
        </w:rPr>
        <w:t xml:space="preserve">one of the signatories to </w:t>
      </w:r>
      <w:r>
        <w:rPr>
          <w:rFonts w:ascii="Times New Roman" w:hAnsi="Times New Roman"/>
          <w:sz w:val="24"/>
          <w:szCs w:val="24"/>
        </w:rPr>
        <w:t xml:space="preserve">the </w:t>
      </w:r>
      <w:r w:rsidRPr="001A7352">
        <w:rPr>
          <w:rFonts w:ascii="Times New Roman" w:hAnsi="Times New Roman"/>
          <w:sz w:val="24"/>
          <w:szCs w:val="24"/>
        </w:rPr>
        <w:t xml:space="preserve">Common Market for </w:t>
      </w:r>
      <w:r w:rsidRPr="006D23A4">
        <w:rPr>
          <w:rFonts w:ascii="Garamond" w:hAnsi="Garamond"/>
          <w:sz w:val="24"/>
          <w:szCs w:val="24"/>
        </w:rPr>
        <w:t xml:space="preserve">Eastern and Southern Africa (COMESA). Ethiopia is also a member of Inter- Governmental Authority for Development (IGAD) and the Sana’a Forum for Co-operation (SFC). The Ethiopian </w:t>
      </w:r>
      <w:r w:rsidRPr="006D23A4">
        <w:rPr>
          <w:rFonts w:ascii="Garamond" w:hAnsi="Garamond"/>
          <w:sz w:val="24"/>
          <w:szCs w:val="24"/>
        </w:rPr>
        <w:lastRenderedPageBreak/>
        <w:t>government is engaged with multilateral a</w:t>
      </w:r>
      <w:r w:rsidR="004A4BA5" w:rsidRPr="006D23A4">
        <w:rPr>
          <w:rFonts w:ascii="Garamond" w:hAnsi="Garamond"/>
          <w:sz w:val="24"/>
          <w:szCs w:val="24"/>
        </w:rPr>
        <w:t xml:space="preserve">nd regional trade negotiations. </w:t>
      </w:r>
      <w:r w:rsidRPr="006D23A4">
        <w:rPr>
          <w:rFonts w:ascii="Garamond" w:hAnsi="Garamond"/>
          <w:sz w:val="24"/>
          <w:szCs w:val="24"/>
        </w:rPr>
        <w:t xml:space="preserve">These negotiations are accession to the World Trade Organization (WTO), the New Economic Partnership Agreement (EPA) with the European Union, Common Market for Southern and Eastern Africa (COMESA) Free Trade Agreement (FTA), </w:t>
      </w:r>
      <w:r w:rsidR="001D17C0" w:rsidRPr="006D23A4">
        <w:rPr>
          <w:rFonts w:ascii="Garamond" w:hAnsi="Garamond"/>
          <w:sz w:val="24"/>
          <w:szCs w:val="24"/>
        </w:rPr>
        <w:t xml:space="preserve">and Continental </w:t>
      </w:r>
      <w:r w:rsidRPr="006D23A4">
        <w:rPr>
          <w:rFonts w:ascii="Garamond" w:hAnsi="Garamond"/>
          <w:sz w:val="24"/>
          <w:szCs w:val="24"/>
        </w:rPr>
        <w:t>free trade area (</w:t>
      </w:r>
      <w:r w:rsidR="001D17C0" w:rsidRPr="006D23A4">
        <w:rPr>
          <w:rFonts w:ascii="Garamond" w:hAnsi="Garamond"/>
          <w:sz w:val="24"/>
          <w:szCs w:val="24"/>
        </w:rPr>
        <w:t>C</w:t>
      </w:r>
      <w:r w:rsidRPr="006D23A4">
        <w:rPr>
          <w:rFonts w:ascii="Garamond" w:hAnsi="Garamond"/>
          <w:sz w:val="24"/>
          <w:szCs w:val="24"/>
        </w:rPr>
        <w:t xml:space="preserve">FTA). Note that while TFTA, COMESA-FTA, IGAD and SFC are all Sub-Saharan regional economic integration agreements (i.e. South-South cooperation), the Economic Partnership Agreement with the European Union is a North-South agreement. </w:t>
      </w:r>
      <w:r w:rsidR="00D0128B">
        <w:rPr>
          <w:rFonts w:ascii="Garamond" w:hAnsi="Garamond"/>
          <w:sz w:val="24"/>
          <w:szCs w:val="24"/>
        </w:rPr>
        <w:t>Ethiopia enjoys quota- and duty free access to European market under the Everything But Arms trade agreement</w:t>
      </w:r>
      <w:r w:rsidR="00491BEE" w:rsidRPr="00491BEE">
        <w:rPr>
          <w:rFonts w:ascii="Garamond" w:hAnsi="Garamond"/>
          <w:sz w:val="24"/>
          <w:szCs w:val="24"/>
        </w:rPr>
        <w:t xml:space="preserve"> </w:t>
      </w:r>
      <w:r w:rsidR="00491BEE">
        <w:rPr>
          <w:rFonts w:ascii="Garamond" w:hAnsi="Garamond"/>
          <w:sz w:val="24"/>
          <w:szCs w:val="24"/>
        </w:rPr>
        <w:t>and the USA market under Africa Growth Opportunity Act (AGOA)</w:t>
      </w:r>
      <w:r w:rsidR="00D0128B">
        <w:rPr>
          <w:rFonts w:ascii="Garamond" w:hAnsi="Garamond"/>
          <w:sz w:val="24"/>
          <w:szCs w:val="24"/>
        </w:rPr>
        <w:t xml:space="preserve">.   </w:t>
      </w:r>
    </w:p>
    <w:p w:rsidR="006D23A4" w:rsidRPr="006D23A4" w:rsidRDefault="006D23A4" w:rsidP="001D17C0">
      <w:pPr>
        <w:spacing w:after="120" w:line="240" w:lineRule="auto"/>
        <w:jc w:val="both"/>
        <w:rPr>
          <w:rFonts w:ascii="Garamond" w:hAnsi="Garamond"/>
          <w:sz w:val="24"/>
          <w:szCs w:val="24"/>
        </w:rPr>
      </w:pPr>
      <w:r w:rsidRPr="006D23A4">
        <w:rPr>
          <w:rFonts w:ascii="Garamond" w:hAnsi="Garamond"/>
          <w:sz w:val="24"/>
          <w:szCs w:val="24"/>
        </w:rPr>
        <w:t xml:space="preserve">The impacts of regional trade agreements can be assessed in terms of trade flows. In particular, studies indicate trade flow with COMESA member countries is limited. The share of intra-COMESA exports accounted for on average 10.9 percent of total merchandise exports between 2001/2 to 2012/13. </w:t>
      </w:r>
      <w:r w:rsidR="00491BEE">
        <w:rPr>
          <w:rFonts w:ascii="Garamond" w:hAnsi="Garamond"/>
          <w:sz w:val="24"/>
          <w:szCs w:val="24"/>
        </w:rPr>
        <w:t xml:space="preserve">Ethiopia’s trade relationship is </w:t>
      </w:r>
      <w:r w:rsidR="00D56EED">
        <w:rPr>
          <w:rFonts w:ascii="Garamond" w:hAnsi="Garamond"/>
          <w:sz w:val="24"/>
          <w:szCs w:val="24"/>
        </w:rPr>
        <w:t xml:space="preserve">relatively </w:t>
      </w:r>
      <w:r w:rsidR="00491BEE">
        <w:rPr>
          <w:rFonts w:ascii="Garamond" w:hAnsi="Garamond"/>
          <w:sz w:val="24"/>
          <w:szCs w:val="24"/>
        </w:rPr>
        <w:t>strong, especially with Asian and European</w:t>
      </w:r>
      <w:r w:rsidR="00D56EED">
        <w:rPr>
          <w:rFonts w:ascii="Garamond" w:hAnsi="Garamond"/>
          <w:sz w:val="24"/>
          <w:szCs w:val="24"/>
        </w:rPr>
        <w:t xml:space="preserve"> countries</w:t>
      </w:r>
      <w:r w:rsidR="00491BEE">
        <w:rPr>
          <w:rFonts w:ascii="Garamond" w:hAnsi="Garamond"/>
          <w:sz w:val="24"/>
          <w:szCs w:val="24"/>
        </w:rPr>
        <w:t>.</w:t>
      </w:r>
    </w:p>
    <w:p w:rsidR="00B218FF" w:rsidRDefault="006D23A4" w:rsidP="001D17C0">
      <w:pPr>
        <w:spacing w:after="120" w:line="240" w:lineRule="auto"/>
        <w:jc w:val="both"/>
        <w:rPr>
          <w:rFonts w:ascii="Garamond" w:eastAsiaTheme="minorHAnsi" w:hAnsi="Garamond" w:cs="MyriadPro-Bold"/>
          <w:b/>
          <w:bCs/>
          <w:color w:val="00243D"/>
          <w:sz w:val="24"/>
          <w:szCs w:val="24"/>
          <w:lang w:val="en-GB"/>
        </w:rPr>
      </w:pPr>
      <w:r>
        <w:rPr>
          <w:rFonts w:ascii="Garamond" w:eastAsiaTheme="minorHAnsi" w:hAnsi="Garamond" w:cs="MyriadPro-Bold"/>
          <w:b/>
          <w:bCs/>
          <w:color w:val="00243D"/>
          <w:sz w:val="24"/>
          <w:szCs w:val="24"/>
          <w:lang w:val="en-GB"/>
        </w:rPr>
        <w:t xml:space="preserve">(ii) </w:t>
      </w:r>
      <w:r w:rsidR="001D17C0" w:rsidRPr="006D23A4">
        <w:rPr>
          <w:rFonts w:ascii="Garamond" w:eastAsiaTheme="minorHAnsi" w:hAnsi="Garamond" w:cs="MyriadPro-Bold"/>
          <w:b/>
          <w:bCs/>
          <w:color w:val="00243D"/>
          <w:sz w:val="24"/>
          <w:szCs w:val="24"/>
          <w:lang w:val="en-GB"/>
        </w:rPr>
        <w:t xml:space="preserve">Bilateral </w:t>
      </w:r>
      <w:r>
        <w:rPr>
          <w:rFonts w:ascii="Garamond" w:eastAsiaTheme="minorHAnsi" w:hAnsi="Garamond" w:cs="MyriadPro-Bold"/>
          <w:b/>
          <w:bCs/>
          <w:color w:val="00243D"/>
          <w:sz w:val="24"/>
          <w:szCs w:val="24"/>
          <w:lang w:val="en-GB"/>
        </w:rPr>
        <w:t>t</w:t>
      </w:r>
      <w:r w:rsidR="001D17C0" w:rsidRPr="006D23A4">
        <w:rPr>
          <w:rFonts w:ascii="Garamond" w:eastAsiaTheme="minorHAnsi" w:hAnsi="Garamond" w:cs="MyriadPro-Bold"/>
          <w:b/>
          <w:bCs/>
          <w:color w:val="00243D"/>
          <w:sz w:val="24"/>
          <w:szCs w:val="24"/>
          <w:lang w:val="en-GB"/>
        </w:rPr>
        <w:t xml:space="preserve">rade </w:t>
      </w:r>
      <w:r>
        <w:rPr>
          <w:rFonts w:ascii="Garamond" w:eastAsiaTheme="minorHAnsi" w:hAnsi="Garamond" w:cs="MyriadPro-Bold"/>
          <w:b/>
          <w:bCs/>
          <w:color w:val="00243D"/>
          <w:sz w:val="24"/>
          <w:szCs w:val="24"/>
          <w:lang w:val="en-GB"/>
        </w:rPr>
        <w:t>r</w:t>
      </w:r>
      <w:r w:rsidR="001D17C0" w:rsidRPr="006D23A4">
        <w:rPr>
          <w:rFonts w:ascii="Garamond" w:eastAsiaTheme="minorHAnsi" w:hAnsi="Garamond" w:cs="MyriadPro-Bold"/>
          <w:b/>
          <w:bCs/>
          <w:color w:val="00243D"/>
          <w:sz w:val="24"/>
          <w:szCs w:val="24"/>
          <w:lang w:val="en-GB"/>
        </w:rPr>
        <w:t xml:space="preserve">elations </w:t>
      </w:r>
    </w:p>
    <w:p w:rsidR="000766E0" w:rsidRDefault="00D56EED" w:rsidP="001422F4">
      <w:pPr>
        <w:spacing w:after="0" w:line="240" w:lineRule="auto"/>
        <w:jc w:val="both"/>
        <w:rPr>
          <w:rFonts w:ascii="Garamond" w:hAnsi="Garamond"/>
          <w:sz w:val="24"/>
          <w:szCs w:val="24"/>
          <w:lang w:val="en-SG" w:eastAsia="de-DE"/>
        </w:rPr>
      </w:pPr>
      <w:r w:rsidRPr="0098645A">
        <w:rPr>
          <w:rFonts w:ascii="Garamond" w:hAnsi="Garamond"/>
          <w:sz w:val="24"/>
          <w:szCs w:val="24"/>
          <w:lang w:val="en-SG" w:eastAsia="de-DE"/>
        </w:rPr>
        <w:t xml:space="preserve">Ethiopia has engaged with a number of bilateral trade agreements, and has entered into bilateral trade agreements with </w:t>
      </w:r>
      <w:r w:rsidR="001422F4">
        <w:rPr>
          <w:rFonts w:ascii="Garamond" w:hAnsi="Garamond"/>
          <w:sz w:val="24"/>
          <w:szCs w:val="24"/>
          <w:lang w:val="en-SG" w:eastAsia="de-DE"/>
        </w:rPr>
        <w:t>a number of countries</w:t>
      </w:r>
      <w:r w:rsidRPr="0098645A">
        <w:rPr>
          <w:rFonts w:ascii="Garamond" w:hAnsi="Garamond"/>
          <w:sz w:val="24"/>
          <w:szCs w:val="24"/>
          <w:lang w:val="en-SG" w:eastAsia="de-DE"/>
        </w:rPr>
        <w:t xml:space="preserve">. </w:t>
      </w:r>
      <w:r w:rsidR="001422F4">
        <w:rPr>
          <w:rFonts w:ascii="Garamond" w:hAnsi="Garamond"/>
          <w:sz w:val="24"/>
          <w:szCs w:val="24"/>
          <w:lang w:val="en-SG" w:eastAsia="de-DE"/>
        </w:rPr>
        <w:t>Among the list of countries which Ethiopia has bilateral trade agreements, the country has relatively strong trade ties with Djibouti, India, Sudan</w:t>
      </w:r>
      <w:r w:rsidR="001422F4">
        <w:rPr>
          <w:rStyle w:val="FootnoteReference"/>
          <w:rFonts w:ascii="Garamond" w:hAnsi="Garamond"/>
          <w:sz w:val="24"/>
          <w:szCs w:val="24"/>
          <w:lang w:val="en-SG" w:eastAsia="de-DE"/>
        </w:rPr>
        <w:footnoteReference w:id="33"/>
      </w:r>
      <w:r w:rsidR="001422F4">
        <w:rPr>
          <w:rFonts w:ascii="Garamond" w:hAnsi="Garamond"/>
          <w:sz w:val="24"/>
          <w:szCs w:val="24"/>
          <w:lang w:val="en-SG" w:eastAsia="de-DE"/>
        </w:rPr>
        <w:t xml:space="preserve">, China, and Malaysia. Ethiopia’s trade with India, China, </w:t>
      </w:r>
      <w:r w:rsidR="00B97148">
        <w:rPr>
          <w:rFonts w:ascii="Garamond" w:hAnsi="Garamond"/>
          <w:sz w:val="24"/>
          <w:szCs w:val="24"/>
          <w:lang w:val="en-SG" w:eastAsia="de-DE"/>
        </w:rPr>
        <w:t xml:space="preserve">Russia, </w:t>
      </w:r>
      <w:r w:rsidR="001422F4">
        <w:rPr>
          <w:rFonts w:ascii="Garamond" w:hAnsi="Garamond"/>
          <w:sz w:val="24"/>
          <w:szCs w:val="24"/>
          <w:lang w:val="en-SG" w:eastAsia="de-DE"/>
        </w:rPr>
        <w:t xml:space="preserve">Turkey and Malaysia has increased. </w:t>
      </w:r>
      <w:r w:rsidR="008740D3">
        <w:rPr>
          <w:rFonts w:ascii="Garamond" w:hAnsi="Garamond"/>
          <w:sz w:val="24"/>
          <w:szCs w:val="24"/>
          <w:lang w:val="en-SG" w:eastAsia="de-DE"/>
        </w:rPr>
        <w:t xml:space="preserve">For instance, exports to India increased from </w:t>
      </w:r>
      <w:r w:rsidR="005C2F4A">
        <w:rPr>
          <w:rFonts w:ascii="Garamond" w:hAnsi="Garamond"/>
          <w:sz w:val="24"/>
          <w:szCs w:val="24"/>
          <w:lang w:val="en-SG" w:eastAsia="de-DE"/>
        </w:rPr>
        <w:t xml:space="preserve">about 0.99 percent of total merchandize exports in 2005/6 to 1.2 percent in 2012/13. Likewise, imports from India increased.  </w:t>
      </w:r>
    </w:p>
    <w:p w:rsidR="001422F4" w:rsidRDefault="008740D3" w:rsidP="001422F4">
      <w:pPr>
        <w:spacing w:after="0" w:line="240" w:lineRule="auto"/>
        <w:jc w:val="both"/>
        <w:rPr>
          <w:rFonts w:ascii="Garamond" w:eastAsia="Calibri" w:hAnsi="Garamond" w:cs="Garamond"/>
          <w:sz w:val="24"/>
          <w:szCs w:val="24"/>
        </w:rPr>
      </w:pPr>
      <w:r>
        <w:rPr>
          <w:rFonts w:ascii="Garamond" w:hAnsi="Garamond"/>
          <w:sz w:val="24"/>
          <w:szCs w:val="24"/>
          <w:lang w:val="en-SG" w:eastAsia="de-DE"/>
        </w:rPr>
        <w:t xml:space="preserve"> </w:t>
      </w:r>
    </w:p>
    <w:p w:rsidR="005C2F4A" w:rsidRPr="00E10DA9" w:rsidRDefault="00E10DA9" w:rsidP="00E10DA9">
      <w:pPr>
        <w:spacing w:after="120" w:line="240" w:lineRule="auto"/>
        <w:jc w:val="both"/>
        <w:rPr>
          <w:rFonts w:ascii="Garamond" w:eastAsiaTheme="minorHAnsi" w:hAnsi="Garamond" w:cs="MyriadPro-Bold"/>
          <w:b/>
          <w:bCs/>
          <w:color w:val="00243D"/>
          <w:sz w:val="24"/>
          <w:szCs w:val="24"/>
          <w:lang w:val="en-GB"/>
        </w:rPr>
      </w:pPr>
      <w:r>
        <w:rPr>
          <w:rFonts w:ascii="Garamond" w:eastAsiaTheme="minorHAnsi" w:hAnsi="Garamond" w:cs="MyriadPro-Bold"/>
          <w:b/>
          <w:bCs/>
          <w:color w:val="00243D"/>
          <w:sz w:val="24"/>
          <w:szCs w:val="24"/>
          <w:lang w:val="en-GB"/>
        </w:rPr>
        <w:t xml:space="preserve">(iii) </w:t>
      </w:r>
      <w:r w:rsidR="005C2F4A" w:rsidRPr="00E10DA9">
        <w:rPr>
          <w:rFonts w:ascii="Garamond" w:eastAsiaTheme="minorHAnsi" w:hAnsi="Garamond" w:cs="MyriadPro-Bold"/>
          <w:b/>
          <w:bCs/>
          <w:color w:val="00243D"/>
          <w:sz w:val="24"/>
          <w:szCs w:val="24"/>
          <w:lang w:val="en-GB"/>
        </w:rPr>
        <w:t>Bilateral Financial Assistance</w:t>
      </w:r>
    </w:p>
    <w:p w:rsidR="00B97148" w:rsidRDefault="00B97148" w:rsidP="004D1EB8">
      <w:pPr>
        <w:autoSpaceDE w:val="0"/>
        <w:autoSpaceDN w:val="0"/>
        <w:adjustRightInd w:val="0"/>
        <w:spacing w:after="0" w:line="240" w:lineRule="auto"/>
        <w:jc w:val="both"/>
        <w:rPr>
          <w:rFonts w:ascii="Garamond" w:eastAsiaTheme="minorHAnsi" w:hAnsi="Garamond" w:cs="MyriadPro-Regular"/>
          <w:sz w:val="24"/>
          <w:szCs w:val="24"/>
          <w:lang w:val="en-GB"/>
        </w:rPr>
      </w:pPr>
      <w:r w:rsidRPr="00B97148">
        <w:rPr>
          <w:rFonts w:ascii="Garamond" w:eastAsiaTheme="minorHAnsi" w:hAnsi="Garamond" w:cs="MyriadPro-Regular"/>
          <w:sz w:val="24"/>
          <w:szCs w:val="24"/>
          <w:lang w:val="en-GB"/>
        </w:rPr>
        <w:t xml:space="preserve">Top partners from the Global South for bilateral financial assistance include China, India, Kuwait, </w:t>
      </w:r>
      <w:r>
        <w:rPr>
          <w:rFonts w:ascii="Garamond" w:eastAsiaTheme="minorHAnsi" w:hAnsi="Garamond" w:cs="MyriadPro-Regular"/>
          <w:sz w:val="24"/>
          <w:szCs w:val="24"/>
          <w:lang w:val="en-GB"/>
        </w:rPr>
        <w:t xml:space="preserve">and </w:t>
      </w:r>
      <w:r w:rsidRPr="00B97148">
        <w:rPr>
          <w:rFonts w:ascii="Garamond" w:eastAsiaTheme="minorHAnsi" w:hAnsi="Garamond" w:cs="MyriadPro-Regular"/>
          <w:sz w:val="24"/>
          <w:szCs w:val="24"/>
          <w:lang w:val="en-GB"/>
        </w:rPr>
        <w:t>Saudi Arabia.</w:t>
      </w:r>
      <w:r w:rsidR="00E10DA9">
        <w:rPr>
          <w:rFonts w:ascii="Garamond" w:eastAsiaTheme="minorHAnsi" w:hAnsi="Garamond" w:cs="MyriadPro-Regular"/>
          <w:sz w:val="24"/>
          <w:szCs w:val="24"/>
          <w:lang w:val="en-GB"/>
        </w:rPr>
        <w:t xml:space="preserve"> </w:t>
      </w:r>
      <w:r w:rsidR="004D1EB8">
        <w:rPr>
          <w:rFonts w:ascii="Garamond" w:eastAsiaTheme="minorHAnsi" w:hAnsi="Garamond" w:cs="MyriadPro-Regular"/>
          <w:sz w:val="24"/>
          <w:szCs w:val="24"/>
          <w:lang w:val="en-GB"/>
        </w:rPr>
        <w:t xml:space="preserve">The financial assistance is largely in the form of loans, with small grant element. </w:t>
      </w:r>
      <w:r w:rsidR="00E10DA9">
        <w:rPr>
          <w:rFonts w:ascii="Garamond" w:eastAsiaTheme="minorHAnsi" w:hAnsi="Garamond" w:cs="MyriadPro-Regular"/>
          <w:sz w:val="24"/>
          <w:szCs w:val="24"/>
          <w:lang w:val="en-GB"/>
        </w:rPr>
        <w:t xml:space="preserve">China </w:t>
      </w:r>
      <w:r w:rsidR="00B80C5D">
        <w:rPr>
          <w:rFonts w:ascii="Garamond" w:eastAsiaTheme="minorHAnsi" w:hAnsi="Garamond" w:cs="MyriadPro-Regular"/>
          <w:sz w:val="24"/>
          <w:szCs w:val="24"/>
          <w:lang w:val="en-GB"/>
        </w:rPr>
        <w:t>is the main source of financial assistance to Ethiopia</w:t>
      </w:r>
      <w:r w:rsidR="004D1EB8">
        <w:rPr>
          <w:rFonts w:ascii="Garamond" w:eastAsiaTheme="minorHAnsi" w:hAnsi="Garamond" w:cs="MyriadPro-Regular"/>
          <w:sz w:val="24"/>
          <w:szCs w:val="24"/>
          <w:lang w:val="en-GB"/>
        </w:rPr>
        <w:t xml:space="preserve"> (with USD 1.3 billion loan and 8.2 million grant between 2011/12 and 2016/17)</w:t>
      </w:r>
      <w:r w:rsidR="00B80C5D">
        <w:rPr>
          <w:rFonts w:ascii="Garamond" w:eastAsiaTheme="minorHAnsi" w:hAnsi="Garamond" w:cs="MyriadPro-Regular"/>
          <w:sz w:val="24"/>
          <w:szCs w:val="24"/>
          <w:lang w:val="en-GB"/>
        </w:rPr>
        <w:t xml:space="preserve">. </w:t>
      </w:r>
    </w:p>
    <w:p w:rsidR="00B97148" w:rsidRPr="00B97148" w:rsidRDefault="00B97148" w:rsidP="00B97148">
      <w:pPr>
        <w:pStyle w:val="Caption"/>
        <w:spacing w:after="0"/>
        <w:rPr>
          <w:rFonts w:ascii="Garamond" w:eastAsiaTheme="minorHAnsi" w:hAnsi="Garamond" w:cs="MyriadPro-Regular"/>
          <w:sz w:val="24"/>
          <w:szCs w:val="24"/>
        </w:rPr>
      </w:pPr>
      <w:bookmarkStart w:id="91" w:name="_Toc486585967"/>
      <w:r w:rsidRPr="00B97148">
        <w:rPr>
          <w:rFonts w:ascii="Garamond" w:eastAsiaTheme="minorHAnsi" w:hAnsi="Garamond" w:cs="MyriadPro-Regular"/>
          <w:sz w:val="24"/>
          <w:szCs w:val="24"/>
        </w:rPr>
        <w:t xml:space="preserve">Figure </w:t>
      </w:r>
      <w:r w:rsidR="00BF3BBC" w:rsidRPr="00B97148">
        <w:rPr>
          <w:rFonts w:ascii="Garamond" w:hAnsi="Garamond"/>
          <w:sz w:val="24"/>
          <w:szCs w:val="24"/>
        </w:rPr>
        <w:fldChar w:fldCharType="begin"/>
      </w:r>
      <w:r w:rsidRPr="00B97148">
        <w:rPr>
          <w:rFonts w:ascii="Garamond" w:hAnsi="Garamond"/>
          <w:sz w:val="24"/>
          <w:szCs w:val="24"/>
        </w:rPr>
        <w:instrText xml:space="preserve"> SEQ Figure \* ARABIC </w:instrText>
      </w:r>
      <w:r w:rsidR="00BF3BBC" w:rsidRPr="00B97148">
        <w:rPr>
          <w:rFonts w:ascii="Garamond" w:hAnsi="Garamond"/>
          <w:sz w:val="24"/>
          <w:szCs w:val="24"/>
        </w:rPr>
        <w:fldChar w:fldCharType="separate"/>
      </w:r>
      <w:r w:rsidR="006C24A4">
        <w:rPr>
          <w:rFonts w:ascii="Garamond" w:hAnsi="Garamond"/>
          <w:noProof/>
          <w:sz w:val="24"/>
          <w:szCs w:val="24"/>
        </w:rPr>
        <w:t>32</w:t>
      </w:r>
      <w:r w:rsidR="00BF3BBC" w:rsidRPr="00B97148">
        <w:rPr>
          <w:rFonts w:ascii="Garamond" w:hAnsi="Garamond"/>
          <w:sz w:val="24"/>
          <w:szCs w:val="24"/>
        </w:rPr>
        <w:fldChar w:fldCharType="end"/>
      </w:r>
      <w:r w:rsidRPr="00B97148">
        <w:rPr>
          <w:rFonts w:ascii="Garamond" w:hAnsi="Garamond"/>
          <w:sz w:val="24"/>
          <w:szCs w:val="24"/>
        </w:rPr>
        <w:t>: Grants and loans (Percent of total ODA)</w:t>
      </w:r>
      <w:bookmarkEnd w:id="91"/>
    </w:p>
    <w:p w:rsidR="00B97148" w:rsidRPr="00B97148" w:rsidRDefault="00B97148" w:rsidP="00B97148">
      <w:pPr>
        <w:autoSpaceDE w:val="0"/>
        <w:autoSpaceDN w:val="0"/>
        <w:adjustRightInd w:val="0"/>
        <w:spacing w:after="0" w:line="240" w:lineRule="auto"/>
        <w:rPr>
          <w:rFonts w:ascii="Garamond" w:eastAsiaTheme="minorHAnsi" w:hAnsi="Garamond" w:cs="MyriadPro-Bold"/>
          <w:b/>
          <w:bCs/>
          <w:color w:val="00243D"/>
          <w:sz w:val="24"/>
          <w:szCs w:val="24"/>
          <w:lang w:val="en-GB"/>
        </w:rPr>
      </w:pPr>
      <w:r>
        <w:rPr>
          <w:noProof/>
        </w:rPr>
        <w:drawing>
          <wp:inline distT="0" distB="0" distL="0" distR="0">
            <wp:extent cx="6059347" cy="179959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97148" w:rsidRDefault="00B97148" w:rsidP="00B97148">
      <w:pPr>
        <w:spacing w:after="0" w:line="240" w:lineRule="auto"/>
        <w:rPr>
          <w:rFonts w:ascii="Garamond" w:hAnsi="Garamond"/>
        </w:rPr>
      </w:pPr>
      <w:r w:rsidRPr="000A4254">
        <w:rPr>
          <w:rFonts w:ascii="Garamond" w:hAnsi="Garamond"/>
        </w:rPr>
        <w:t xml:space="preserve">Source: </w:t>
      </w:r>
      <w:r>
        <w:rPr>
          <w:rFonts w:ascii="Garamond" w:hAnsi="Garamond"/>
        </w:rPr>
        <w:t xml:space="preserve">Based on </w:t>
      </w:r>
      <w:r w:rsidRPr="000A4254">
        <w:rPr>
          <w:rFonts w:ascii="Garamond" w:hAnsi="Garamond"/>
        </w:rPr>
        <w:t>MoFEC (Aid platform database)</w:t>
      </w:r>
    </w:p>
    <w:p w:rsidR="00AD5212" w:rsidRDefault="00AD5212" w:rsidP="00B97148">
      <w:pPr>
        <w:spacing w:after="0" w:line="240" w:lineRule="auto"/>
        <w:rPr>
          <w:rFonts w:ascii="Garamond" w:hAnsi="Garamond"/>
        </w:rPr>
      </w:pPr>
    </w:p>
    <w:p w:rsidR="00AD5212" w:rsidRDefault="00AD5212" w:rsidP="006A5FB8">
      <w:pPr>
        <w:spacing w:after="120" w:line="240" w:lineRule="auto"/>
        <w:jc w:val="both"/>
        <w:rPr>
          <w:rFonts w:ascii="Garamond" w:eastAsiaTheme="minorHAnsi" w:hAnsi="Garamond" w:cs="MyriadPro-Bold"/>
          <w:b/>
          <w:bCs/>
          <w:color w:val="00243D"/>
          <w:sz w:val="24"/>
          <w:szCs w:val="24"/>
          <w:lang w:val="en-GB"/>
        </w:rPr>
      </w:pPr>
      <w:r w:rsidRPr="006A5FB8">
        <w:rPr>
          <w:rFonts w:ascii="Garamond" w:eastAsiaTheme="minorHAnsi" w:hAnsi="Garamond" w:cs="MyriadPro-Bold"/>
          <w:b/>
          <w:bCs/>
          <w:color w:val="00243D"/>
          <w:sz w:val="24"/>
          <w:szCs w:val="24"/>
          <w:lang w:val="en-GB"/>
        </w:rPr>
        <w:t>(iv) Multilateral Financial Institutions from the South</w:t>
      </w:r>
    </w:p>
    <w:p w:rsidR="006A5FB8" w:rsidRDefault="00D62B29" w:rsidP="00247BB2">
      <w:pPr>
        <w:autoSpaceDE w:val="0"/>
        <w:autoSpaceDN w:val="0"/>
        <w:adjustRightInd w:val="0"/>
        <w:spacing w:after="0" w:line="240" w:lineRule="auto"/>
        <w:jc w:val="both"/>
        <w:rPr>
          <w:rFonts w:ascii="Garamond" w:eastAsiaTheme="minorHAnsi" w:hAnsi="Garamond" w:cs="MyriadPro-Regular"/>
          <w:sz w:val="24"/>
          <w:szCs w:val="24"/>
          <w:lang w:val="en-GB"/>
        </w:rPr>
      </w:pPr>
      <w:r>
        <w:rPr>
          <w:rFonts w:ascii="Garamond" w:eastAsiaTheme="minorHAnsi" w:hAnsi="Garamond" w:cs="MyriadPro-Regular"/>
          <w:sz w:val="24"/>
          <w:szCs w:val="24"/>
          <w:lang w:val="en-GB"/>
        </w:rPr>
        <w:lastRenderedPageBreak/>
        <w:t xml:space="preserve">Ethiopia </w:t>
      </w:r>
      <w:r w:rsidR="00247BB2" w:rsidRPr="00247BB2">
        <w:rPr>
          <w:rFonts w:ascii="Garamond" w:eastAsiaTheme="minorHAnsi" w:hAnsi="Garamond" w:cs="MyriadPro-Regular"/>
          <w:sz w:val="24"/>
          <w:szCs w:val="24"/>
          <w:lang w:val="en-GB"/>
        </w:rPr>
        <w:t>receives concessional loans and grants from Southern multilateral institutions, mainly from A</w:t>
      </w:r>
      <w:r w:rsidR="006D2CC9">
        <w:rPr>
          <w:rFonts w:ascii="Garamond" w:eastAsiaTheme="minorHAnsi" w:hAnsi="Garamond" w:cs="MyriadPro-Regular"/>
          <w:sz w:val="24"/>
          <w:szCs w:val="24"/>
          <w:lang w:val="en-GB"/>
        </w:rPr>
        <w:t xml:space="preserve">frican Development Bank (AfDB), Arab Bank </w:t>
      </w:r>
      <w:r w:rsidR="00247BB2" w:rsidRPr="00247BB2">
        <w:rPr>
          <w:rFonts w:ascii="Garamond" w:eastAsiaTheme="minorHAnsi" w:hAnsi="Garamond" w:cs="MyriadPro-Regular"/>
          <w:sz w:val="24"/>
          <w:szCs w:val="24"/>
          <w:lang w:val="en-GB"/>
        </w:rPr>
        <w:t xml:space="preserve">for </w:t>
      </w:r>
      <w:r w:rsidR="006D2CC9">
        <w:rPr>
          <w:rFonts w:ascii="Garamond" w:eastAsiaTheme="minorHAnsi" w:hAnsi="Garamond" w:cs="MyriadPro-Regular"/>
          <w:sz w:val="24"/>
          <w:szCs w:val="24"/>
          <w:lang w:val="en-GB"/>
        </w:rPr>
        <w:t xml:space="preserve">Economic </w:t>
      </w:r>
      <w:r w:rsidR="00247BB2" w:rsidRPr="00247BB2">
        <w:rPr>
          <w:rFonts w:ascii="Garamond" w:eastAsiaTheme="minorHAnsi" w:hAnsi="Garamond" w:cs="MyriadPro-Regular"/>
          <w:sz w:val="24"/>
          <w:szCs w:val="24"/>
          <w:lang w:val="en-GB"/>
        </w:rPr>
        <w:t>Development</w:t>
      </w:r>
      <w:r w:rsidR="006D2CC9">
        <w:rPr>
          <w:rFonts w:ascii="Garamond" w:eastAsiaTheme="minorHAnsi" w:hAnsi="Garamond" w:cs="MyriadPro-Regular"/>
          <w:sz w:val="24"/>
          <w:szCs w:val="24"/>
          <w:lang w:val="en-GB"/>
        </w:rPr>
        <w:t xml:space="preserve"> of Africa (BADEA) and </w:t>
      </w:r>
      <w:r w:rsidR="00247BB2" w:rsidRPr="00247BB2">
        <w:rPr>
          <w:rFonts w:ascii="Garamond" w:eastAsiaTheme="minorHAnsi" w:hAnsi="Garamond" w:cs="MyriadPro-Regular"/>
          <w:sz w:val="24"/>
          <w:szCs w:val="24"/>
          <w:lang w:val="en-GB"/>
        </w:rPr>
        <w:t>others.</w:t>
      </w:r>
      <w:r w:rsidR="00820661">
        <w:rPr>
          <w:rFonts w:ascii="Garamond" w:eastAsiaTheme="minorHAnsi" w:hAnsi="Garamond" w:cs="MyriadPro-Regular"/>
          <w:sz w:val="24"/>
          <w:szCs w:val="24"/>
          <w:lang w:val="en-GB"/>
        </w:rPr>
        <w:t xml:space="preserve"> </w:t>
      </w:r>
      <w:r w:rsidR="00DD4C3D">
        <w:rPr>
          <w:rFonts w:ascii="Garamond" w:eastAsiaTheme="minorHAnsi" w:hAnsi="Garamond" w:cs="MyriadPro-Regular"/>
          <w:sz w:val="24"/>
          <w:szCs w:val="24"/>
          <w:lang w:val="en-GB"/>
        </w:rPr>
        <w:t>T</w:t>
      </w:r>
      <w:r w:rsidR="00820661">
        <w:rPr>
          <w:rFonts w:ascii="Garamond" w:eastAsiaTheme="minorHAnsi" w:hAnsi="Garamond" w:cs="MyriadPro-Regular"/>
          <w:sz w:val="24"/>
          <w:szCs w:val="24"/>
          <w:lang w:val="en-GB"/>
        </w:rPr>
        <w:t xml:space="preserve">he Africa Development Bank </w:t>
      </w:r>
      <w:r w:rsidR="00DD4C3D">
        <w:rPr>
          <w:rFonts w:ascii="Garamond" w:eastAsiaTheme="minorHAnsi" w:hAnsi="Garamond" w:cs="MyriadPro-Regular"/>
          <w:sz w:val="24"/>
          <w:szCs w:val="24"/>
          <w:lang w:val="en-GB"/>
        </w:rPr>
        <w:t>has remained the main source of financial su</w:t>
      </w:r>
      <w:r w:rsidR="00820661">
        <w:rPr>
          <w:rFonts w:ascii="Garamond" w:eastAsiaTheme="minorHAnsi" w:hAnsi="Garamond" w:cs="MyriadPro-Regular"/>
          <w:sz w:val="24"/>
          <w:szCs w:val="24"/>
          <w:lang w:val="en-GB"/>
        </w:rPr>
        <w:t>p</w:t>
      </w:r>
      <w:r w:rsidR="00DD4C3D">
        <w:rPr>
          <w:rFonts w:ascii="Garamond" w:eastAsiaTheme="minorHAnsi" w:hAnsi="Garamond" w:cs="MyriadPro-Regular"/>
          <w:sz w:val="24"/>
          <w:szCs w:val="24"/>
          <w:lang w:val="en-GB"/>
        </w:rPr>
        <w:t xml:space="preserve">port (both in the form of grants and loans). </w:t>
      </w:r>
      <w:r w:rsidR="00820661">
        <w:rPr>
          <w:rFonts w:ascii="Garamond" w:eastAsiaTheme="minorHAnsi" w:hAnsi="Garamond" w:cs="MyriadPro-Regular"/>
          <w:sz w:val="24"/>
          <w:szCs w:val="24"/>
          <w:lang w:val="en-GB"/>
        </w:rPr>
        <w:t xml:space="preserve"> </w:t>
      </w:r>
    </w:p>
    <w:p w:rsidR="00820661" w:rsidRPr="00820661" w:rsidRDefault="00820661" w:rsidP="00820661">
      <w:pPr>
        <w:pStyle w:val="Caption"/>
        <w:spacing w:after="0"/>
        <w:rPr>
          <w:rFonts w:ascii="Garamond" w:eastAsiaTheme="minorHAnsi" w:hAnsi="Garamond" w:cs="MyriadPro-Regular"/>
          <w:sz w:val="22"/>
          <w:szCs w:val="22"/>
        </w:rPr>
      </w:pPr>
      <w:bookmarkStart w:id="92" w:name="_Toc486585968"/>
      <w:r w:rsidRPr="00820661">
        <w:rPr>
          <w:rFonts w:ascii="Garamond" w:eastAsiaTheme="minorHAnsi" w:hAnsi="Garamond" w:cs="MyriadPro-Regular"/>
          <w:sz w:val="22"/>
          <w:szCs w:val="22"/>
        </w:rPr>
        <w:t xml:space="preserve">Figure </w:t>
      </w:r>
      <w:r w:rsidR="00BF3BBC" w:rsidRPr="00820661">
        <w:rPr>
          <w:rFonts w:ascii="Garamond" w:hAnsi="Garamond"/>
          <w:sz w:val="22"/>
          <w:szCs w:val="22"/>
        </w:rPr>
        <w:fldChar w:fldCharType="begin"/>
      </w:r>
      <w:r w:rsidRPr="00820661">
        <w:rPr>
          <w:rFonts w:ascii="Garamond" w:hAnsi="Garamond"/>
          <w:sz w:val="22"/>
          <w:szCs w:val="22"/>
        </w:rPr>
        <w:instrText xml:space="preserve"> SEQ Figure \* ARABIC </w:instrText>
      </w:r>
      <w:r w:rsidR="00BF3BBC" w:rsidRPr="00820661">
        <w:rPr>
          <w:rFonts w:ascii="Garamond" w:hAnsi="Garamond"/>
          <w:sz w:val="22"/>
          <w:szCs w:val="22"/>
        </w:rPr>
        <w:fldChar w:fldCharType="separate"/>
      </w:r>
      <w:r w:rsidR="006C24A4">
        <w:rPr>
          <w:rFonts w:ascii="Garamond" w:hAnsi="Garamond"/>
          <w:noProof/>
          <w:sz w:val="22"/>
          <w:szCs w:val="22"/>
        </w:rPr>
        <w:t>33</w:t>
      </w:r>
      <w:r w:rsidR="00BF3BBC" w:rsidRPr="00820661">
        <w:rPr>
          <w:rFonts w:ascii="Garamond" w:hAnsi="Garamond"/>
          <w:sz w:val="22"/>
          <w:szCs w:val="22"/>
        </w:rPr>
        <w:fldChar w:fldCharType="end"/>
      </w:r>
      <w:r w:rsidRPr="00820661">
        <w:rPr>
          <w:rFonts w:ascii="Garamond" w:hAnsi="Garamond"/>
          <w:sz w:val="22"/>
          <w:szCs w:val="22"/>
        </w:rPr>
        <w:t>: Total fund flow (In million USD)</w:t>
      </w:r>
      <w:bookmarkEnd w:id="92"/>
    </w:p>
    <w:p w:rsidR="00820661" w:rsidRPr="00247BB2" w:rsidRDefault="00820661" w:rsidP="00247BB2">
      <w:pPr>
        <w:autoSpaceDE w:val="0"/>
        <w:autoSpaceDN w:val="0"/>
        <w:adjustRightInd w:val="0"/>
        <w:spacing w:after="0" w:line="240" w:lineRule="auto"/>
        <w:jc w:val="both"/>
        <w:rPr>
          <w:rFonts w:ascii="Garamond" w:eastAsiaTheme="minorHAnsi" w:hAnsi="Garamond" w:cs="MyriadPro-Regular"/>
          <w:sz w:val="24"/>
          <w:szCs w:val="24"/>
          <w:lang w:val="en-GB"/>
        </w:rPr>
      </w:pPr>
      <w:r>
        <w:rPr>
          <w:noProof/>
        </w:rPr>
        <w:drawing>
          <wp:inline distT="0" distB="0" distL="0" distR="0">
            <wp:extent cx="6198235" cy="2390172"/>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20661" w:rsidRDefault="00820661" w:rsidP="00820661">
      <w:pPr>
        <w:spacing w:after="0" w:line="240" w:lineRule="auto"/>
        <w:rPr>
          <w:rFonts w:ascii="Garamond" w:hAnsi="Garamond"/>
        </w:rPr>
      </w:pPr>
      <w:r w:rsidRPr="000A4254">
        <w:rPr>
          <w:rFonts w:ascii="Garamond" w:hAnsi="Garamond"/>
        </w:rPr>
        <w:t>Source: MoFEC (Aid platform database)</w:t>
      </w:r>
    </w:p>
    <w:p w:rsidR="000C3F13" w:rsidRDefault="00DD4C3D" w:rsidP="000C3F13">
      <w:pPr>
        <w:autoSpaceDE w:val="0"/>
        <w:autoSpaceDN w:val="0"/>
        <w:adjustRightInd w:val="0"/>
        <w:spacing w:after="0" w:line="240" w:lineRule="auto"/>
        <w:jc w:val="both"/>
        <w:rPr>
          <w:rFonts w:ascii="Garamond" w:eastAsiaTheme="minorHAnsi" w:hAnsi="Garamond" w:cs="MyriadPro-Regular"/>
          <w:sz w:val="24"/>
          <w:szCs w:val="24"/>
          <w:lang w:val="en-GB"/>
        </w:rPr>
      </w:pPr>
      <w:r w:rsidRPr="00136CDC">
        <w:rPr>
          <w:rFonts w:ascii="Garamond" w:eastAsiaTheme="minorHAnsi" w:hAnsi="Garamond" w:cs="MyriadPro-Regular"/>
          <w:sz w:val="24"/>
          <w:szCs w:val="24"/>
          <w:lang w:val="en-GB"/>
        </w:rPr>
        <w:t xml:space="preserve">The overall picture from SSC is encouraging as this emerging source of finance has great potential for Ethiopia to meet its development aspirations. A large proportion of SSC </w:t>
      </w:r>
      <w:r w:rsidR="00AC2849">
        <w:rPr>
          <w:rFonts w:ascii="Garamond" w:eastAsiaTheme="minorHAnsi" w:hAnsi="Garamond" w:cs="MyriadPro-Regular"/>
          <w:sz w:val="24"/>
          <w:szCs w:val="24"/>
          <w:lang w:val="en-GB"/>
        </w:rPr>
        <w:t>focuses on priority sectors, an indication that such cooperation is</w:t>
      </w:r>
      <w:r w:rsidRPr="00136CDC">
        <w:rPr>
          <w:rFonts w:ascii="Garamond" w:eastAsiaTheme="minorHAnsi" w:hAnsi="Garamond" w:cs="MyriadPro-Regular"/>
          <w:sz w:val="24"/>
          <w:szCs w:val="24"/>
          <w:lang w:val="en-GB"/>
        </w:rPr>
        <w:t xml:space="preserve"> demand driven. I</w:t>
      </w:r>
      <w:r w:rsidR="00136CDC" w:rsidRPr="00136CDC">
        <w:rPr>
          <w:rFonts w:ascii="Garamond" w:eastAsiaTheme="minorHAnsi" w:hAnsi="Garamond" w:cs="MyriadPro-Regular"/>
          <w:sz w:val="24"/>
          <w:szCs w:val="24"/>
          <w:lang w:val="en-GB"/>
        </w:rPr>
        <w:t xml:space="preserve">n fact, most of the investment focus on agriculture, </w:t>
      </w:r>
      <w:r w:rsidRPr="00136CDC">
        <w:rPr>
          <w:rFonts w:ascii="Garamond" w:eastAsiaTheme="minorHAnsi" w:hAnsi="Garamond" w:cs="MyriadPro-Regular"/>
          <w:sz w:val="24"/>
          <w:szCs w:val="24"/>
          <w:lang w:val="en-GB"/>
        </w:rPr>
        <w:t>infrastructure development</w:t>
      </w:r>
      <w:r w:rsidR="00136CDC" w:rsidRPr="00136CDC">
        <w:rPr>
          <w:rFonts w:ascii="Garamond" w:eastAsiaTheme="minorHAnsi" w:hAnsi="Garamond" w:cs="MyriadPro-Regular"/>
          <w:sz w:val="24"/>
          <w:szCs w:val="24"/>
          <w:lang w:val="en-GB"/>
        </w:rPr>
        <w:t xml:space="preserve"> and manufacturing</w:t>
      </w:r>
      <w:r w:rsidRPr="00136CDC">
        <w:rPr>
          <w:rFonts w:ascii="Garamond" w:eastAsiaTheme="minorHAnsi" w:hAnsi="Garamond" w:cs="MyriadPro-Regular"/>
          <w:sz w:val="24"/>
          <w:szCs w:val="24"/>
          <w:lang w:val="en-GB"/>
        </w:rPr>
        <w:t xml:space="preserve">. </w:t>
      </w:r>
      <w:r w:rsidR="00136CDC">
        <w:rPr>
          <w:rFonts w:ascii="Garamond" w:eastAsiaTheme="minorHAnsi" w:hAnsi="Garamond" w:cs="MyriadPro-Regular"/>
          <w:sz w:val="24"/>
          <w:szCs w:val="24"/>
          <w:lang w:val="en-GB"/>
        </w:rPr>
        <w:t>Ot</w:t>
      </w:r>
      <w:r w:rsidR="00136CDC" w:rsidRPr="00136CDC">
        <w:rPr>
          <w:rFonts w:ascii="Garamond" w:eastAsiaTheme="minorHAnsi" w:hAnsi="Garamond" w:cs="MyriadPro-Regular"/>
          <w:sz w:val="24"/>
          <w:szCs w:val="24"/>
          <w:lang w:val="en-GB"/>
        </w:rPr>
        <w:t>her key national development goals, like education, skill dev</w:t>
      </w:r>
      <w:r w:rsidR="000C3F13">
        <w:rPr>
          <w:rFonts w:ascii="Garamond" w:eastAsiaTheme="minorHAnsi" w:hAnsi="Garamond" w:cs="MyriadPro-Regular"/>
          <w:sz w:val="24"/>
          <w:szCs w:val="24"/>
          <w:lang w:val="en-GB"/>
        </w:rPr>
        <w:t xml:space="preserve">elopment, health and others </w:t>
      </w:r>
      <w:r w:rsidR="00136CDC">
        <w:rPr>
          <w:rFonts w:ascii="Garamond" w:eastAsiaTheme="minorHAnsi" w:hAnsi="Garamond" w:cs="MyriadPro-Regular"/>
          <w:sz w:val="24"/>
          <w:szCs w:val="24"/>
          <w:lang w:val="en-GB"/>
        </w:rPr>
        <w:t>need to get supported by the SSC</w:t>
      </w:r>
      <w:r w:rsidR="000C3F13">
        <w:rPr>
          <w:rFonts w:ascii="Garamond" w:eastAsiaTheme="minorHAnsi" w:hAnsi="Garamond" w:cs="MyriadPro-Regular"/>
          <w:sz w:val="24"/>
          <w:szCs w:val="24"/>
          <w:lang w:val="en-GB"/>
        </w:rPr>
        <w:t xml:space="preserve"> framework</w:t>
      </w:r>
      <w:r w:rsidR="00136CDC">
        <w:rPr>
          <w:rFonts w:ascii="Garamond" w:eastAsiaTheme="minorHAnsi" w:hAnsi="Garamond" w:cs="MyriadPro-Regular"/>
          <w:sz w:val="24"/>
          <w:szCs w:val="24"/>
          <w:lang w:val="en-GB"/>
        </w:rPr>
        <w:t xml:space="preserve">. </w:t>
      </w:r>
      <w:r w:rsidR="000C3F13">
        <w:rPr>
          <w:rFonts w:ascii="Garamond" w:eastAsiaTheme="minorHAnsi" w:hAnsi="Garamond" w:cs="MyriadPro-Regular"/>
          <w:sz w:val="24"/>
          <w:szCs w:val="24"/>
          <w:lang w:val="en-GB"/>
        </w:rPr>
        <w:t xml:space="preserve">There is also a need to establish systematic database for </w:t>
      </w:r>
      <w:r w:rsidRPr="00136CDC">
        <w:rPr>
          <w:rFonts w:ascii="Garamond" w:eastAsiaTheme="minorHAnsi" w:hAnsi="Garamond" w:cs="MyriadPro-Regular"/>
          <w:sz w:val="24"/>
          <w:szCs w:val="24"/>
          <w:lang w:val="en-GB"/>
        </w:rPr>
        <w:t xml:space="preserve">SSC </w:t>
      </w:r>
      <w:r w:rsidR="000C3F13">
        <w:rPr>
          <w:rFonts w:ascii="Garamond" w:eastAsiaTheme="minorHAnsi" w:hAnsi="Garamond" w:cs="MyriadPro-Regular"/>
          <w:sz w:val="24"/>
          <w:szCs w:val="24"/>
          <w:lang w:val="en-GB"/>
        </w:rPr>
        <w:t xml:space="preserve">for effective monitoring and evaluation of SSC.  </w:t>
      </w:r>
    </w:p>
    <w:p w:rsidR="000C3F13" w:rsidRDefault="000C3F13">
      <w:pPr>
        <w:spacing w:after="160" w:line="259" w:lineRule="auto"/>
        <w:rPr>
          <w:rFonts w:ascii="Garamond" w:eastAsiaTheme="minorHAnsi" w:hAnsi="Garamond" w:cs="MyriadPro-Regular"/>
          <w:sz w:val="24"/>
          <w:szCs w:val="24"/>
          <w:lang w:val="en-GB"/>
        </w:rPr>
      </w:pPr>
      <w:r>
        <w:rPr>
          <w:rFonts w:ascii="Garamond" w:eastAsiaTheme="minorHAnsi" w:hAnsi="Garamond" w:cs="MyriadPro-Regular"/>
          <w:sz w:val="24"/>
          <w:szCs w:val="24"/>
          <w:lang w:val="en-GB"/>
        </w:rPr>
        <w:br w:type="page"/>
      </w:r>
    </w:p>
    <w:p w:rsidR="00FB7375" w:rsidRPr="004E0898" w:rsidRDefault="00EA6C6B" w:rsidP="00E02B1C">
      <w:pPr>
        <w:pStyle w:val="Heading1"/>
        <w:ind w:left="1440"/>
        <w:rPr>
          <w:rFonts w:ascii="Garamond" w:hAnsi="Garamond"/>
          <w:b/>
          <w:sz w:val="24"/>
          <w:szCs w:val="24"/>
        </w:rPr>
      </w:pPr>
      <w:bookmarkStart w:id="93" w:name="_Toc486782282"/>
      <w:r w:rsidRPr="004E0898">
        <w:rPr>
          <w:rFonts w:ascii="Garamond" w:hAnsi="Garamond"/>
          <w:b/>
          <w:sz w:val="24"/>
          <w:szCs w:val="24"/>
        </w:rPr>
        <w:lastRenderedPageBreak/>
        <w:t xml:space="preserve">7. </w:t>
      </w:r>
      <w:r w:rsidR="009A220E">
        <w:rPr>
          <w:rFonts w:ascii="Garamond" w:hAnsi="Garamond"/>
          <w:b/>
          <w:sz w:val="24"/>
          <w:szCs w:val="24"/>
        </w:rPr>
        <w:t>Key findings, p</w:t>
      </w:r>
      <w:r w:rsidR="004E0898" w:rsidRPr="004E0898">
        <w:rPr>
          <w:rFonts w:ascii="Garamond" w:hAnsi="Garamond"/>
          <w:b/>
          <w:sz w:val="24"/>
          <w:szCs w:val="24"/>
        </w:rPr>
        <w:t>riorities areas and matrix of interventions</w:t>
      </w:r>
      <w:bookmarkEnd w:id="93"/>
    </w:p>
    <w:p w:rsidR="008B2B43" w:rsidRPr="00FB7375" w:rsidRDefault="008B2B43" w:rsidP="00FB7375">
      <w:pPr>
        <w:spacing w:after="0" w:line="240" w:lineRule="auto"/>
        <w:ind w:left="1080"/>
        <w:jc w:val="both"/>
        <w:rPr>
          <w:rFonts w:ascii="Garamond" w:hAnsi="Garamond"/>
          <w:sz w:val="24"/>
          <w:szCs w:val="24"/>
        </w:rPr>
      </w:pPr>
    </w:p>
    <w:p w:rsidR="005B23DD" w:rsidRDefault="00A126F9" w:rsidP="005B23DD">
      <w:pPr>
        <w:spacing w:after="0" w:line="240" w:lineRule="auto"/>
        <w:jc w:val="both"/>
        <w:rPr>
          <w:rFonts w:ascii="Garamond" w:hAnsi="Garamond"/>
          <w:sz w:val="24"/>
          <w:szCs w:val="24"/>
        </w:rPr>
      </w:pPr>
      <w:r w:rsidRPr="00200616">
        <w:rPr>
          <w:rFonts w:ascii="Garamond" w:hAnsi="Garamond" w:cs="TimesNewRomanPSMT"/>
          <w:sz w:val="24"/>
          <w:szCs w:val="24"/>
        </w:rPr>
        <w:t xml:space="preserve">The Ethiopia </w:t>
      </w:r>
      <w:r>
        <w:rPr>
          <w:rFonts w:ascii="Garamond" w:hAnsi="Garamond" w:cs="TimesNewRomanPSMT"/>
          <w:sz w:val="24"/>
          <w:szCs w:val="24"/>
        </w:rPr>
        <w:t xml:space="preserve">has shown substantive </w:t>
      </w:r>
      <w:r w:rsidRPr="00200616">
        <w:rPr>
          <w:rFonts w:ascii="Garamond" w:hAnsi="Garamond" w:cs="TimesNewRomanPSMT"/>
          <w:sz w:val="24"/>
          <w:szCs w:val="24"/>
        </w:rPr>
        <w:t xml:space="preserve">strides in articulating sustainable development as reflected in its development policies, strategies and plans which incorporate </w:t>
      </w:r>
      <w:r>
        <w:rPr>
          <w:rFonts w:ascii="Garamond" w:hAnsi="Garamond" w:cs="TimesNewRomanPSMT"/>
          <w:sz w:val="24"/>
          <w:szCs w:val="24"/>
        </w:rPr>
        <w:t xml:space="preserve">sustainable development (SD) </w:t>
      </w:r>
      <w:r w:rsidRPr="00200616">
        <w:rPr>
          <w:rFonts w:ascii="Garamond" w:hAnsi="Garamond" w:cs="TimesNewRomanPSMT"/>
          <w:sz w:val="24"/>
          <w:szCs w:val="24"/>
        </w:rPr>
        <w:t>principles and objectives.</w:t>
      </w:r>
      <w:r>
        <w:rPr>
          <w:rFonts w:ascii="Garamond" w:hAnsi="Garamond" w:cs="TimesNewRomanPSMT"/>
          <w:sz w:val="24"/>
          <w:szCs w:val="24"/>
        </w:rPr>
        <w:t xml:space="preserve"> </w:t>
      </w:r>
      <w:r w:rsidR="004D60E6" w:rsidRPr="00362E30">
        <w:rPr>
          <w:rFonts w:ascii="Garamond" w:hAnsi="Garamond"/>
          <w:sz w:val="24"/>
          <w:szCs w:val="24"/>
        </w:rPr>
        <w:t xml:space="preserve">Economic goals include raising productivity in agriculture, improving social services, promoting industrial development, and filling significant </w:t>
      </w:r>
      <w:r w:rsidR="004D60E6">
        <w:rPr>
          <w:rFonts w:ascii="Garamond" w:hAnsi="Garamond"/>
          <w:sz w:val="24"/>
          <w:szCs w:val="24"/>
        </w:rPr>
        <w:t xml:space="preserve">infrastructural </w:t>
      </w:r>
      <w:r w:rsidR="004D60E6" w:rsidRPr="00362E30">
        <w:rPr>
          <w:rFonts w:ascii="Garamond" w:hAnsi="Garamond"/>
          <w:sz w:val="24"/>
          <w:szCs w:val="24"/>
        </w:rPr>
        <w:t>gaps in power, transportation (both road and rail</w:t>
      </w:r>
      <w:r w:rsidR="004D60E6">
        <w:rPr>
          <w:rFonts w:ascii="Garamond" w:hAnsi="Garamond"/>
          <w:sz w:val="24"/>
          <w:szCs w:val="24"/>
        </w:rPr>
        <w:t>way</w:t>
      </w:r>
      <w:r w:rsidR="004D60E6" w:rsidRPr="00362E30">
        <w:rPr>
          <w:rFonts w:ascii="Garamond" w:hAnsi="Garamond"/>
          <w:sz w:val="24"/>
          <w:szCs w:val="24"/>
        </w:rPr>
        <w:t>) and telecommunications</w:t>
      </w:r>
      <w:r w:rsidR="004D60E6">
        <w:rPr>
          <w:rFonts w:ascii="Garamond" w:hAnsi="Garamond"/>
          <w:sz w:val="24"/>
          <w:szCs w:val="24"/>
        </w:rPr>
        <w:t xml:space="preserve">. </w:t>
      </w:r>
      <w:r w:rsidR="004D60E6" w:rsidRPr="00E70232">
        <w:rPr>
          <w:rFonts w:ascii="Garamond" w:hAnsi="Garamond"/>
          <w:sz w:val="24"/>
          <w:szCs w:val="24"/>
        </w:rPr>
        <w:t xml:space="preserve">Specific targets include to achieve </w:t>
      </w:r>
      <w:r w:rsidR="004D60E6">
        <w:rPr>
          <w:rFonts w:ascii="Garamond" w:hAnsi="Garamond"/>
          <w:sz w:val="24"/>
          <w:szCs w:val="24"/>
        </w:rPr>
        <w:t xml:space="preserve">a lower </w:t>
      </w:r>
      <w:r w:rsidR="004D60E6" w:rsidRPr="00E70232">
        <w:rPr>
          <w:rFonts w:ascii="Garamond" w:hAnsi="Garamond"/>
          <w:sz w:val="24"/>
          <w:szCs w:val="24"/>
        </w:rPr>
        <w:t>middle-income status by 2025</w:t>
      </w:r>
      <w:r w:rsidR="004D60E6">
        <w:rPr>
          <w:rFonts w:ascii="Garamond" w:hAnsi="Garamond"/>
          <w:sz w:val="24"/>
          <w:szCs w:val="24"/>
        </w:rPr>
        <w:t xml:space="preserve"> and to </w:t>
      </w:r>
      <w:r w:rsidR="004D60E6" w:rsidRPr="00E70232">
        <w:rPr>
          <w:rFonts w:ascii="Garamond" w:hAnsi="Garamond"/>
          <w:sz w:val="24"/>
          <w:szCs w:val="24"/>
        </w:rPr>
        <w:t xml:space="preserve">meet the </w:t>
      </w:r>
      <w:r w:rsidR="004D60E6">
        <w:rPr>
          <w:rFonts w:ascii="Garamond" w:hAnsi="Garamond"/>
          <w:sz w:val="24"/>
          <w:szCs w:val="24"/>
        </w:rPr>
        <w:t>sustainable d</w:t>
      </w:r>
      <w:r w:rsidR="004D60E6" w:rsidRPr="00E70232">
        <w:rPr>
          <w:rFonts w:ascii="Garamond" w:hAnsi="Garamond"/>
          <w:sz w:val="24"/>
          <w:szCs w:val="24"/>
        </w:rPr>
        <w:t xml:space="preserve">evelopment </w:t>
      </w:r>
      <w:r w:rsidR="004D60E6">
        <w:rPr>
          <w:rFonts w:ascii="Garamond" w:hAnsi="Garamond"/>
          <w:sz w:val="24"/>
          <w:szCs w:val="24"/>
        </w:rPr>
        <w:t>g</w:t>
      </w:r>
      <w:r w:rsidR="004D60E6" w:rsidRPr="00E70232">
        <w:rPr>
          <w:rFonts w:ascii="Garamond" w:hAnsi="Garamond"/>
          <w:sz w:val="24"/>
          <w:szCs w:val="24"/>
        </w:rPr>
        <w:t>oals (</w:t>
      </w:r>
      <w:r w:rsidR="004D60E6">
        <w:rPr>
          <w:rFonts w:ascii="Garamond" w:hAnsi="Garamond"/>
          <w:sz w:val="24"/>
          <w:szCs w:val="24"/>
        </w:rPr>
        <w:t>S</w:t>
      </w:r>
      <w:r w:rsidR="004D60E6" w:rsidRPr="00E70232">
        <w:rPr>
          <w:rFonts w:ascii="Garamond" w:hAnsi="Garamond"/>
          <w:sz w:val="24"/>
          <w:szCs w:val="24"/>
        </w:rPr>
        <w:t>DGs) by 20</w:t>
      </w:r>
      <w:r w:rsidR="004D60E6">
        <w:rPr>
          <w:rFonts w:ascii="Garamond" w:hAnsi="Garamond"/>
          <w:sz w:val="24"/>
          <w:szCs w:val="24"/>
        </w:rPr>
        <w:t>30</w:t>
      </w:r>
      <w:r w:rsidR="004D60E6" w:rsidRPr="00E70232">
        <w:rPr>
          <w:rFonts w:ascii="Garamond" w:hAnsi="Garamond"/>
          <w:sz w:val="24"/>
          <w:szCs w:val="24"/>
        </w:rPr>
        <w:t>.</w:t>
      </w:r>
      <w:r w:rsidR="004D60E6" w:rsidRPr="002A3BD1">
        <w:rPr>
          <w:rFonts w:ascii="Garamond" w:hAnsi="Garamond" w:cs="Times"/>
          <w:sz w:val="24"/>
          <w:szCs w:val="24"/>
        </w:rPr>
        <w:t xml:space="preserve"> </w:t>
      </w:r>
      <w:r w:rsidR="004D60E6" w:rsidRPr="006C3AF6">
        <w:rPr>
          <w:rFonts w:ascii="Garamond" w:hAnsi="Garamond" w:cs="Times"/>
          <w:sz w:val="24"/>
          <w:szCs w:val="24"/>
        </w:rPr>
        <w:t xml:space="preserve">The scale of </w:t>
      </w:r>
      <w:r w:rsidR="004D60E6">
        <w:rPr>
          <w:rFonts w:ascii="Garamond" w:hAnsi="Garamond" w:cs="Times"/>
          <w:sz w:val="24"/>
          <w:szCs w:val="24"/>
        </w:rPr>
        <w:t xml:space="preserve">resource requirement is very large; </w:t>
      </w:r>
      <w:r w:rsidR="004D60E6" w:rsidRPr="006C3AF6">
        <w:rPr>
          <w:rFonts w:ascii="Garamond" w:hAnsi="Garamond" w:cs="Times"/>
          <w:sz w:val="24"/>
          <w:szCs w:val="24"/>
        </w:rPr>
        <w:t xml:space="preserve">budgetary government spending and public enterprise off-budget spending </w:t>
      </w:r>
      <w:r w:rsidR="004D60E6">
        <w:rPr>
          <w:rFonts w:ascii="Garamond" w:hAnsi="Garamond" w:cs="Times"/>
          <w:sz w:val="24"/>
          <w:szCs w:val="24"/>
        </w:rPr>
        <w:t xml:space="preserve">are </w:t>
      </w:r>
      <w:r w:rsidR="004D60E6" w:rsidRPr="006C3AF6">
        <w:rPr>
          <w:rFonts w:ascii="Garamond" w:hAnsi="Garamond" w:cs="Times"/>
          <w:sz w:val="24"/>
          <w:szCs w:val="24"/>
        </w:rPr>
        <w:t xml:space="preserve">projected to </w:t>
      </w:r>
      <w:r w:rsidR="004D60E6">
        <w:rPr>
          <w:rFonts w:ascii="Garamond" w:hAnsi="Garamond" w:cs="Times"/>
          <w:sz w:val="24"/>
          <w:szCs w:val="24"/>
        </w:rPr>
        <w:t>increase significantly during the GTP-II period and beyond</w:t>
      </w:r>
      <w:r w:rsidR="004D60E6" w:rsidRPr="006C3AF6">
        <w:rPr>
          <w:rFonts w:ascii="Garamond" w:hAnsi="Garamond" w:cs="Times"/>
          <w:sz w:val="24"/>
          <w:szCs w:val="24"/>
        </w:rPr>
        <w:t xml:space="preserve">. </w:t>
      </w:r>
      <w:r w:rsidR="005B23DD" w:rsidRPr="001C69CE">
        <w:rPr>
          <w:rFonts w:ascii="Garamond" w:hAnsi="Garamond"/>
          <w:sz w:val="24"/>
          <w:szCs w:val="24"/>
        </w:rPr>
        <w:t>Th</w:t>
      </w:r>
      <w:r w:rsidR="005B23DD">
        <w:rPr>
          <w:rFonts w:ascii="Garamond" w:hAnsi="Garamond"/>
          <w:sz w:val="24"/>
          <w:szCs w:val="24"/>
        </w:rPr>
        <w:t>e 2030 Agenda r</w:t>
      </w:r>
      <w:r w:rsidR="005B23DD" w:rsidRPr="001C69CE">
        <w:rPr>
          <w:rFonts w:ascii="Garamond" w:hAnsi="Garamond"/>
          <w:sz w:val="24"/>
          <w:szCs w:val="24"/>
        </w:rPr>
        <w:t>equires both signi</w:t>
      </w:r>
      <w:r w:rsidR="005B23DD">
        <w:rPr>
          <w:rFonts w:ascii="Garamond" w:hAnsi="Garamond"/>
          <w:sz w:val="24"/>
          <w:szCs w:val="24"/>
        </w:rPr>
        <w:t>f</w:t>
      </w:r>
      <w:r w:rsidR="005B23DD" w:rsidRPr="001C69CE">
        <w:rPr>
          <w:rFonts w:ascii="Garamond" w:hAnsi="Garamond"/>
          <w:sz w:val="24"/>
          <w:szCs w:val="24"/>
        </w:rPr>
        <w:t xml:space="preserve">icant increases in resources </w:t>
      </w:r>
      <w:r w:rsidR="005B23DD">
        <w:rPr>
          <w:rFonts w:ascii="Garamond" w:hAnsi="Garamond"/>
          <w:sz w:val="24"/>
          <w:szCs w:val="24"/>
        </w:rPr>
        <w:t xml:space="preserve">and </w:t>
      </w:r>
      <w:r w:rsidR="005B23DD" w:rsidRPr="001C69CE">
        <w:rPr>
          <w:rFonts w:ascii="Garamond" w:hAnsi="Garamond"/>
          <w:sz w:val="24"/>
          <w:szCs w:val="24"/>
        </w:rPr>
        <w:t>changes in the way existing resources are used and prioritized, calling for more ef</w:t>
      </w:r>
      <w:r w:rsidR="005B23DD">
        <w:rPr>
          <w:rFonts w:ascii="Garamond" w:hAnsi="Garamond"/>
          <w:sz w:val="24"/>
          <w:szCs w:val="24"/>
        </w:rPr>
        <w:t>f</w:t>
      </w:r>
      <w:r w:rsidR="005B23DD" w:rsidRPr="001C69CE">
        <w:rPr>
          <w:rFonts w:ascii="Garamond" w:hAnsi="Garamond"/>
          <w:sz w:val="24"/>
          <w:szCs w:val="24"/>
        </w:rPr>
        <w:t xml:space="preserve">ective integrated approaches to managing public and private </w:t>
      </w:r>
      <w:r w:rsidR="005B23DD">
        <w:rPr>
          <w:rFonts w:ascii="Garamond" w:hAnsi="Garamond"/>
          <w:sz w:val="24"/>
          <w:szCs w:val="24"/>
        </w:rPr>
        <w:t>f</w:t>
      </w:r>
      <w:r w:rsidR="005B23DD" w:rsidRPr="001C69CE">
        <w:rPr>
          <w:rFonts w:ascii="Garamond" w:hAnsi="Garamond"/>
          <w:sz w:val="24"/>
          <w:szCs w:val="24"/>
        </w:rPr>
        <w:t>inance to achieve sustainable development</w:t>
      </w:r>
      <w:r w:rsidR="005B23DD">
        <w:rPr>
          <w:rFonts w:ascii="Garamond" w:hAnsi="Garamond"/>
          <w:sz w:val="24"/>
          <w:szCs w:val="24"/>
        </w:rPr>
        <w:t xml:space="preserve"> priorities</w:t>
      </w:r>
      <w:r w:rsidR="005B23DD" w:rsidRPr="001C69CE">
        <w:rPr>
          <w:rFonts w:ascii="Garamond" w:hAnsi="Garamond"/>
          <w:sz w:val="24"/>
          <w:szCs w:val="24"/>
        </w:rPr>
        <w:t>.</w:t>
      </w:r>
      <w:r w:rsidR="005B23DD">
        <w:rPr>
          <w:rFonts w:ascii="Garamond" w:hAnsi="Garamond"/>
          <w:sz w:val="24"/>
          <w:szCs w:val="24"/>
        </w:rPr>
        <w:t xml:space="preserve"> This also requires </w:t>
      </w:r>
      <w:r w:rsidR="005B23DD" w:rsidRPr="00001787">
        <w:rPr>
          <w:rFonts w:ascii="Garamond" w:hAnsi="Garamond"/>
          <w:sz w:val="24"/>
          <w:szCs w:val="24"/>
        </w:rPr>
        <w:t>adoption of Integrated National Financing Frameworks (INFFs)</w:t>
      </w:r>
      <w:r w:rsidR="005B23DD">
        <w:rPr>
          <w:rFonts w:ascii="Garamond" w:hAnsi="Garamond"/>
          <w:sz w:val="24"/>
          <w:szCs w:val="24"/>
        </w:rPr>
        <w:t xml:space="preserve"> to mobilize resources to achieve GTP-II and SDGs</w:t>
      </w:r>
      <w:r w:rsidR="005B23DD" w:rsidRPr="00001787">
        <w:rPr>
          <w:rFonts w:ascii="Garamond" w:hAnsi="Garamond"/>
          <w:sz w:val="24"/>
          <w:szCs w:val="24"/>
        </w:rPr>
        <w:t>.</w:t>
      </w:r>
      <w:r w:rsidR="005B23DD">
        <w:rPr>
          <w:rFonts w:ascii="Garamond" w:hAnsi="Garamond"/>
          <w:sz w:val="24"/>
          <w:szCs w:val="24"/>
        </w:rPr>
        <w:t xml:space="preserve"> In the section, we provide a snapshot of development finance assessment findings and </w:t>
      </w:r>
      <w:r w:rsidR="005B23DD" w:rsidRPr="008972B5">
        <w:rPr>
          <w:rFonts w:ascii="Garamond" w:hAnsi="Garamond"/>
          <w:sz w:val="24"/>
          <w:szCs w:val="24"/>
        </w:rPr>
        <w:t>identif</w:t>
      </w:r>
      <w:r w:rsidR="005B23DD">
        <w:rPr>
          <w:rFonts w:ascii="Garamond" w:hAnsi="Garamond"/>
          <w:sz w:val="24"/>
          <w:szCs w:val="24"/>
        </w:rPr>
        <w:t>y priority areas for intervention</w:t>
      </w:r>
      <w:r w:rsidR="005B23DD" w:rsidRPr="008972B5">
        <w:rPr>
          <w:rFonts w:ascii="Garamond" w:hAnsi="Garamond"/>
          <w:sz w:val="24"/>
          <w:szCs w:val="24"/>
        </w:rPr>
        <w:t>.</w:t>
      </w:r>
    </w:p>
    <w:p w:rsidR="005B23DD" w:rsidRDefault="005B23DD" w:rsidP="005B23DD">
      <w:pPr>
        <w:spacing w:after="0" w:line="240" w:lineRule="auto"/>
        <w:ind w:left="360"/>
        <w:jc w:val="both"/>
        <w:rPr>
          <w:rFonts w:ascii="Garamond" w:hAnsi="Garamond"/>
          <w:sz w:val="24"/>
          <w:szCs w:val="24"/>
        </w:rPr>
      </w:pPr>
    </w:p>
    <w:p w:rsidR="005B23DD" w:rsidRDefault="005B23DD" w:rsidP="005B23DD">
      <w:pPr>
        <w:pStyle w:val="Heading2"/>
        <w:rPr>
          <w:rFonts w:ascii="Garamond" w:hAnsi="Garamond"/>
          <w:b/>
          <w:sz w:val="24"/>
          <w:szCs w:val="24"/>
        </w:rPr>
      </w:pPr>
      <w:bookmarkStart w:id="94" w:name="_Toc486782283"/>
      <w:r w:rsidRPr="004E0898">
        <w:rPr>
          <w:rFonts w:ascii="Garamond" w:hAnsi="Garamond"/>
          <w:b/>
          <w:sz w:val="24"/>
          <w:szCs w:val="24"/>
        </w:rPr>
        <w:t xml:space="preserve">7.1 </w:t>
      </w:r>
      <w:r>
        <w:rPr>
          <w:rFonts w:ascii="Garamond" w:hAnsi="Garamond"/>
          <w:b/>
          <w:sz w:val="24"/>
          <w:szCs w:val="24"/>
        </w:rPr>
        <w:t xml:space="preserve">Key findings </w:t>
      </w:r>
      <w:r w:rsidR="00906FDB">
        <w:rPr>
          <w:rFonts w:ascii="Garamond" w:hAnsi="Garamond"/>
          <w:b/>
          <w:sz w:val="24"/>
          <w:szCs w:val="24"/>
        </w:rPr>
        <w:t>based on t</w:t>
      </w:r>
      <w:r>
        <w:rPr>
          <w:rFonts w:ascii="Garamond" w:hAnsi="Garamond"/>
          <w:b/>
          <w:sz w:val="24"/>
          <w:szCs w:val="24"/>
        </w:rPr>
        <w:t xml:space="preserve">he </w:t>
      </w:r>
      <w:r w:rsidR="00740FA1">
        <w:rPr>
          <w:rFonts w:ascii="Garamond" w:hAnsi="Garamond"/>
          <w:b/>
          <w:sz w:val="24"/>
          <w:szCs w:val="24"/>
        </w:rPr>
        <w:t>development finance assessment (</w:t>
      </w:r>
      <w:r>
        <w:rPr>
          <w:rFonts w:ascii="Garamond" w:hAnsi="Garamond"/>
          <w:b/>
          <w:sz w:val="24"/>
          <w:szCs w:val="24"/>
        </w:rPr>
        <w:t>DFA</w:t>
      </w:r>
      <w:r w:rsidR="00740FA1">
        <w:rPr>
          <w:rFonts w:ascii="Garamond" w:hAnsi="Garamond"/>
          <w:b/>
          <w:sz w:val="24"/>
          <w:szCs w:val="24"/>
        </w:rPr>
        <w:t>)</w:t>
      </w:r>
      <w:bookmarkEnd w:id="94"/>
      <w:r>
        <w:rPr>
          <w:rFonts w:ascii="Garamond" w:hAnsi="Garamond"/>
          <w:b/>
          <w:sz w:val="24"/>
          <w:szCs w:val="24"/>
        </w:rPr>
        <w:t xml:space="preserve"> </w:t>
      </w:r>
    </w:p>
    <w:p w:rsidR="001F4E08" w:rsidRDefault="001F4E08" w:rsidP="005B23DD">
      <w:pPr>
        <w:autoSpaceDE w:val="0"/>
        <w:autoSpaceDN w:val="0"/>
        <w:adjustRightInd w:val="0"/>
        <w:spacing w:after="0" w:line="240" w:lineRule="auto"/>
        <w:jc w:val="both"/>
        <w:rPr>
          <w:rFonts w:ascii="Garamond" w:hAnsi="Garamond"/>
          <w:sz w:val="24"/>
          <w:szCs w:val="24"/>
        </w:rPr>
      </w:pPr>
    </w:p>
    <w:p w:rsidR="005B23DD" w:rsidRDefault="005B23DD" w:rsidP="005B23DD">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The Ethiopian government </w:t>
      </w:r>
      <w:r w:rsidRPr="00F55882">
        <w:rPr>
          <w:rFonts w:ascii="Garamond" w:hAnsi="Garamond"/>
          <w:sz w:val="24"/>
          <w:szCs w:val="24"/>
        </w:rPr>
        <w:t xml:space="preserve">has already developed a comprehensive </w:t>
      </w:r>
      <w:r>
        <w:rPr>
          <w:rFonts w:ascii="Garamond" w:hAnsi="Garamond"/>
          <w:sz w:val="24"/>
          <w:szCs w:val="24"/>
        </w:rPr>
        <w:t xml:space="preserve">medium-term development </w:t>
      </w:r>
      <w:r w:rsidRPr="00F55882">
        <w:rPr>
          <w:rFonts w:ascii="Garamond" w:hAnsi="Garamond"/>
          <w:sz w:val="24"/>
          <w:szCs w:val="24"/>
        </w:rPr>
        <w:t>plan</w:t>
      </w:r>
      <w:r>
        <w:rPr>
          <w:rFonts w:ascii="Garamond" w:hAnsi="Garamond"/>
          <w:sz w:val="24"/>
          <w:szCs w:val="24"/>
        </w:rPr>
        <w:t xml:space="preserve"> (GTP-II) for 2015/16-2019/20</w:t>
      </w:r>
      <w:r w:rsidRPr="00F55882">
        <w:rPr>
          <w:rFonts w:ascii="Garamond" w:hAnsi="Garamond"/>
          <w:sz w:val="24"/>
          <w:szCs w:val="24"/>
        </w:rPr>
        <w:t xml:space="preserve"> with similarly </w:t>
      </w:r>
      <w:r>
        <w:rPr>
          <w:rFonts w:ascii="Garamond" w:hAnsi="Garamond"/>
          <w:sz w:val="24"/>
          <w:szCs w:val="24"/>
        </w:rPr>
        <w:t xml:space="preserve">aggregate indicative </w:t>
      </w:r>
      <w:r w:rsidRPr="00F55882">
        <w:rPr>
          <w:rFonts w:ascii="Garamond" w:hAnsi="Garamond"/>
          <w:sz w:val="24"/>
          <w:szCs w:val="24"/>
        </w:rPr>
        <w:t>cost estimates</w:t>
      </w:r>
      <w:r>
        <w:rPr>
          <w:rFonts w:ascii="Garamond" w:hAnsi="Garamond"/>
          <w:sz w:val="24"/>
          <w:szCs w:val="24"/>
        </w:rPr>
        <w:t xml:space="preserve">. The plan lacks detailed indicators and targets for minoring financial flows from sources, indicating a need for an integrated financing strategy and plan.  </w:t>
      </w:r>
    </w:p>
    <w:p w:rsidR="005B23DD" w:rsidRDefault="005B23DD" w:rsidP="005B23DD">
      <w:pPr>
        <w:autoSpaceDE w:val="0"/>
        <w:autoSpaceDN w:val="0"/>
        <w:adjustRightInd w:val="0"/>
        <w:spacing w:after="0" w:line="240" w:lineRule="auto"/>
        <w:jc w:val="both"/>
        <w:rPr>
          <w:rFonts w:ascii="Garamond" w:hAnsi="Garamond"/>
          <w:sz w:val="24"/>
          <w:szCs w:val="24"/>
        </w:rPr>
      </w:pPr>
    </w:p>
    <w:p w:rsidR="005B23DD" w:rsidRDefault="005B23DD" w:rsidP="005B23DD">
      <w:pPr>
        <w:autoSpaceDE w:val="0"/>
        <w:autoSpaceDN w:val="0"/>
        <w:adjustRightInd w:val="0"/>
        <w:spacing w:after="0" w:line="240" w:lineRule="auto"/>
        <w:jc w:val="both"/>
        <w:rPr>
          <w:rFonts w:ascii="Garamond" w:hAnsi="Garamond"/>
          <w:sz w:val="24"/>
          <w:szCs w:val="24"/>
        </w:rPr>
      </w:pPr>
      <w:r w:rsidRPr="001E2F52">
        <w:rPr>
          <w:rFonts w:ascii="Garamond" w:hAnsi="Garamond"/>
          <w:sz w:val="24"/>
          <w:szCs w:val="24"/>
        </w:rPr>
        <w:t xml:space="preserve">Tax revenue has remained low compared to the tax revenue generating capacity of the economy, the financing requirements of the development programs and the average performances of the sub-Saharan countries. This indicates existence of some kind of inefficiency in tax administration and structural problems in the tax system including among others weak information technology administration system, inaccurate database, weak compliance risk management program, lack of electronic payment facility, weak internal audit function not providing oversight on all key operations, lack of impact assessment or evaluation of compliance activities, relies on use of manual operations (outside of SIGTAS), deficient VAT refund system, and weak coordination among key directorates and with branches. </w:t>
      </w:r>
      <w:r>
        <w:rPr>
          <w:rFonts w:ascii="Garamond" w:hAnsi="Garamond"/>
          <w:sz w:val="24"/>
          <w:szCs w:val="24"/>
        </w:rPr>
        <w:t xml:space="preserve">Support is required </w:t>
      </w:r>
      <w:r w:rsidRPr="001E2F52">
        <w:rPr>
          <w:rFonts w:ascii="Garamond" w:hAnsi="Garamond"/>
          <w:sz w:val="24"/>
          <w:szCs w:val="24"/>
        </w:rPr>
        <w:t xml:space="preserve">to improve the transparency, efficiency and effectiveness of the tax system, by broadening the tax base and continuing efforts to integrate the informal sector into the formal economy and to develop modernised, progressive tax systems that encourage private sector development, and reduce the volume of illicit flows leaving the country. </w:t>
      </w:r>
    </w:p>
    <w:p w:rsidR="005B23DD" w:rsidRPr="001E2F52" w:rsidRDefault="005B23DD" w:rsidP="005B23DD">
      <w:pPr>
        <w:autoSpaceDE w:val="0"/>
        <w:autoSpaceDN w:val="0"/>
        <w:adjustRightInd w:val="0"/>
        <w:spacing w:after="0" w:line="240" w:lineRule="auto"/>
        <w:jc w:val="both"/>
        <w:rPr>
          <w:rFonts w:ascii="Garamond" w:hAnsi="Garamond"/>
          <w:sz w:val="24"/>
          <w:szCs w:val="24"/>
        </w:rPr>
      </w:pPr>
    </w:p>
    <w:p w:rsidR="005B23DD" w:rsidRDefault="005B23DD" w:rsidP="005B23DD">
      <w:pPr>
        <w:autoSpaceDE w:val="0"/>
        <w:autoSpaceDN w:val="0"/>
        <w:adjustRightInd w:val="0"/>
        <w:spacing w:after="0" w:line="240" w:lineRule="auto"/>
        <w:jc w:val="both"/>
        <w:rPr>
          <w:rFonts w:ascii="Garamond" w:hAnsi="Garamond"/>
          <w:sz w:val="24"/>
          <w:szCs w:val="24"/>
        </w:rPr>
      </w:pPr>
      <w:r w:rsidRPr="006B0E4E">
        <w:rPr>
          <w:rFonts w:ascii="Garamond" w:hAnsi="Garamond"/>
          <w:sz w:val="24"/>
          <w:szCs w:val="24"/>
        </w:rPr>
        <w:t xml:space="preserve">Although the financial sector has shown </w:t>
      </w:r>
      <w:r>
        <w:rPr>
          <w:rFonts w:ascii="Garamond" w:hAnsi="Garamond"/>
          <w:sz w:val="24"/>
          <w:szCs w:val="24"/>
        </w:rPr>
        <w:t>rapid expansion</w:t>
      </w:r>
      <w:r w:rsidRPr="006B0E4E">
        <w:rPr>
          <w:rFonts w:ascii="Garamond" w:hAnsi="Garamond"/>
          <w:sz w:val="24"/>
          <w:szCs w:val="24"/>
        </w:rPr>
        <w:t xml:space="preserve">, </w:t>
      </w:r>
      <w:r>
        <w:rPr>
          <w:rFonts w:ascii="Garamond" w:hAnsi="Garamond"/>
          <w:sz w:val="24"/>
          <w:szCs w:val="24"/>
        </w:rPr>
        <w:t>the coverage is i</w:t>
      </w:r>
      <w:r w:rsidRPr="006B0E4E">
        <w:rPr>
          <w:rFonts w:ascii="Garamond" w:hAnsi="Garamond"/>
          <w:sz w:val="24"/>
          <w:szCs w:val="24"/>
        </w:rPr>
        <w:t>nadequate compared to the si</w:t>
      </w:r>
      <w:r>
        <w:rPr>
          <w:rFonts w:ascii="Garamond" w:hAnsi="Garamond"/>
          <w:sz w:val="24"/>
          <w:szCs w:val="24"/>
        </w:rPr>
        <w:t xml:space="preserve">ze of the country’s population and there is huge finance outside the banking sector. This can be mobilized through </w:t>
      </w:r>
      <w:r w:rsidRPr="00AA79CD">
        <w:rPr>
          <w:rFonts w:ascii="Garamond" w:hAnsi="Garamond"/>
          <w:sz w:val="24"/>
          <w:szCs w:val="24"/>
        </w:rPr>
        <w:t>public education and mobilization around domestic savings,</w:t>
      </w:r>
      <w:r>
        <w:rPr>
          <w:rFonts w:ascii="Garamond" w:hAnsi="Garamond"/>
          <w:sz w:val="24"/>
          <w:szCs w:val="24"/>
        </w:rPr>
        <w:t xml:space="preserve"> </w:t>
      </w:r>
      <w:r w:rsidRPr="00AA79CD">
        <w:rPr>
          <w:rFonts w:ascii="Garamond" w:hAnsi="Garamond"/>
          <w:sz w:val="24"/>
          <w:szCs w:val="24"/>
        </w:rPr>
        <w:t>maintain</w:t>
      </w:r>
      <w:r>
        <w:rPr>
          <w:rFonts w:ascii="Garamond" w:hAnsi="Garamond"/>
          <w:sz w:val="24"/>
          <w:szCs w:val="24"/>
        </w:rPr>
        <w:t>ing</w:t>
      </w:r>
      <w:r w:rsidRPr="00AA79CD">
        <w:rPr>
          <w:rFonts w:ascii="Garamond" w:hAnsi="Garamond"/>
          <w:sz w:val="24"/>
          <w:szCs w:val="24"/>
        </w:rPr>
        <w:t xml:space="preserve"> positive real interest rate</w:t>
      </w:r>
      <w:r>
        <w:rPr>
          <w:rFonts w:ascii="Garamond" w:hAnsi="Garamond"/>
          <w:sz w:val="24"/>
          <w:szCs w:val="24"/>
        </w:rPr>
        <w:t xml:space="preserve">, </w:t>
      </w:r>
      <w:r w:rsidRPr="00AA79CD">
        <w:rPr>
          <w:rFonts w:ascii="Garamond" w:hAnsi="Garamond"/>
          <w:sz w:val="24"/>
          <w:szCs w:val="24"/>
        </w:rPr>
        <w:t>expand</w:t>
      </w:r>
      <w:r>
        <w:rPr>
          <w:rFonts w:ascii="Garamond" w:hAnsi="Garamond"/>
          <w:sz w:val="24"/>
          <w:szCs w:val="24"/>
        </w:rPr>
        <w:t>ing</w:t>
      </w:r>
      <w:r w:rsidRPr="00AA79CD">
        <w:rPr>
          <w:rFonts w:ascii="Garamond" w:hAnsi="Garamond"/>
          <w:sz w:val="24"/>
          <w:szCs w:val="24"/>
        </w:rPr>
        <w:t xml:space="preserve"> and improving financial institutions</w:t>
      </w:r>
      <w:r>
        <w:rPr>
          <w:rFonts w:ascii="Garamond" w:hAnsi="Garamond"/>
          <w:sz w:val="24"/>
          <w:szCs w:val="24"/>
        </w:rPr>
        <w:t xml:space="preserve"> including microfinance institutions, and deploying </w:t>
      </w:r>
      <w:r w:rsidRPr="00AA79CD">
        <w:rPr>
          <w:rFonts w:ascii="Garamond" w:hAnsi="Garamond"/>
          <w:sz w:val="24"/>
          <w:szCs w:val="24"/>
        </w:rPr>
        <w:t>saving instruments</w:t>
      </w:r>
      <w:r>
        <w:rPr>
          <w:rFonts w:ascii="Garamond" w:hAnsi="Garamond"/>
          <w:sz w:val="24"/>
          <w:szCs w:val="24"/>
        </w:rPr>
        <w:t xml:space="preserve"> including contractual savings</w:t>
      </w:r>
      <w:r w:rsidRPr="00AA79CD">
        <w:rPr>
          <w:rFonts w:ascii="Garamond" w:hAnsi="Garamond"/>
          <w:sz w:val="24"/>
          <w:szCs w:val="24"/>
        </w:rPr>
        <w:t xml:space="preserve"> and </w:t>
      </w:r>
      <w:r>
        <w:rPr>
          <w:rFonts w:ascii="Garamond" w:hAnsi="Garamond"/>
          <w:sz w:val="24"/>
          <w:szCs w:val="24"/>
        </w:rPr>
        <w:t xml:space="preserve">services </w:t>
      </w:r>
      <w:r w:rsidRPr="00AA79CD">
        <w:rPr>
          <w:rFonts w:ascii="Garamond" w:hAnsi="Garamond"/>
          <w:sz w:val="24"/>
          <w:szCs w:val="24"/>
        </w:rPr>
        <w:t xml:space="preserve">such as saving for housing program, saving for investment equipment scheme, </w:t>
      </w:r>
      <w:r>
        <w:rPr>
          <w:rFonts w:ascii="Garamond" w:hAnsi="Garamond"/>
          <w:sz w:val="24"/>
          <w:szCs w:val="24"/>
        </w:rPr>
        <w:t xml:space="preserve">bonds, </w:t>
      </w:r>
      <w:r w:rsidRPr="00AA79CD">
        <w:rPr>
          <w:rFonts w:ascii="Garamond" w:hAnsi="Garamond"/>
          <w:sz w:val="24"/>
          <w:szCs w:val="24"/>
        </w:rPr>
        <w:t xml:space="preserve">social security saving, </w:t>
      </w:r>
      <w:r>
        <w:rPr>
          <w:rFonts w:ascii="Garamond" w:hAnsi="Garamond"/>
          <w:sz w:val="24"/>
          <w:szCs w:val="24"/>
        </w:rPr>
        <w:t xml:space="preserve">and </w:t>
      </w:r>
      <w:r w:rsidRPr="00AA79CD">
        <w:rPr>
          <w:rFonts w:ascii="Garamond" w:hAnsi="Garamond"/>
          <w:sz w:val="24"/>
          <w:szCs w:val="24"/>
        </w:rPr>
        <w:t>health insurance saving</w:t>
      </w:r>
      <w:r>
        <w:rPr>
          <w:rFonts w:ascii="Garamond" w:hAnsi="Garamond"/>
          <w:sz w:val="24"/>
          <w:szCs w:val="24"/>
        </w:rPr>
        <w:t>.</w:t>
      </w:r>
    </w:p>
    <w:p w:rsidR="005B23DD" w:rsidRDefault="005B23DD" w:rsidP="005B23DD">
      <w:pPr>
        <w:autoSpaceDE w:val="0"/>
        <w:autoSpaceDN w:val="0"/>
        <w:adjustRightInd w:val="0"/>
        <w:spacing w:after="0" w:line="240" w:lineRule="auto"/>
        <w:jc w:val="both"/>
        <w:rPr>
          <w:rFonts w:ascii="Garamond" w:hAnsi="Garamond"/>
          <w:sz w:val="24"/>
          <w:szCs w:val="24"/>
        </w:rPr>
      </w:pPr>
    </w:p>
    <w:p w:rsidR="005B23DD" w:rsidRDefault="005B23DD" w:rsidP="005B23DD">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Public-private partnership (PPP) can help to narrow the gap between </w:t>
      </w:r>
      <w:r w:rsidRPr="00F259AE">
        <w:rPr>
          <w:rFonts w:ascii="Garamond" w:hAnsi="Garamond"/>
          <w:sz w:val="24"/>
          <w:szCs w:val="24"/>
        </w:rPr>
        <w:t>public service delivery and public service demand</w:t>
      </w:r>
      <w:r>
        <w:rPr>
          <w:rFonts w:ascii="Garamond" w:hAnsi="Garamond"/>
          <w:sz w:val="24"/>
          <w:szCs w:val="24"/>
        </w:rPr>
        <w:t xml:space="preserve">, thereby </w:t>
      </w:r>
      <w:r w:rsidRPr="00F259AE">
        <w:rPr>
          <w:rFonts w:ascii="Garamond" w:hAnsi="Garamond"/>
          <w:sz w:val="24"/>
          <w:szCs w:val="24"/>
        </w:rPr>
        <w:t>improving the quality of social services</w:t>
      </w:r>
      <w:r>
        <w:rPr>
          <w:rFonts w:ascii="Garamond" w:hAnsi="Garamond"/>
          <w:sz w:val="24"/>
          <w:szCs w:val="24"/>
        </w:rPr>
        <w:t xml:space="preserve">, but challenges remain </w:t>
      </w:r>
      <w:r>
        <w:rPr>
          <w:rFonts w:ascii="Garamond" w:hAnsi="Garamond"/>
          <w:sz w:val="24"/>
          <w:szCs w:val="24"/>
        </w:rPr>
        <w:lastRenderedPageBreak/>
        <w:t>including weak technical and managerial capacity to execute PPP contractual arrangements, inadequate awareness about PPP, lack of specific legal frameworks, l</w:t>
      </w:r>
      <w:r w:rsidRPr="008763CC">
        <w:rPr>
          <w:rFonts w:ascii="Garamond" w:hAnsi="Garamond"/>
          <w:sz w:val="24"/>
          <w:szCs w:val="24"/>
        </w:rPr>
        <w:t>ack of a standardized PPP operating procedure</w:t>
      </w:r>
      <w:r>
        <w:rPr>
          <w:rFonts w:ascii="Garamond" w:hAnsi="Garamond"/>
          <w:sz w:val="24"/>
          <w:szCs w:val="24"/>
        </w:rPr>
        <w:t xml:space="preserve">, weak contract negotiation capacity, and financial constraints.  </w:t>
      </w:r>
      <w:r w:rsidRPr="004F3A62">
        <w:rPr>
          <w:rFonts w:ascii="Garamond" w:hAnsi="Garamond"/>
          <w:sz w:val="24"/>
          <w:szCs w:val="24"/>
        </w:rPr>
        <w:t xml:space="preserve">The PPPs are needed to improve national infrastructure limitations that are hindering </w:t>
      </w:r>
      <w:r>
        <w:rPr>
          <w:rFonts w:ascii="Garamond" w:hAnsi="Garamond"/>
          <w:sz w:val="24"/>
          <w:szCs w:val="24"/>
        </w:rPr>
        <w:t>private sector investment</w:t>
      </w:r>
      <w:r w:rsidRPr="004F3A62">
        <w:rPr>
          <w:rFonts w:ascii="Garamond" w:hAnsi="Garamond"/>
          <w:sz w:val="24"/>
          <w:szCs w:val="24"/>
        </w:rPr>
        <w:t>.</w:t>
      </w:r>
    </w:p>
    <w:p w:rsidR="005B23DD" w:rsidRDefault="005B23DD" w:rsidP="005B23DD">
      <w:pPr>
        <w:autoSpaceDE w:val="0"/>
        <w:autoSpaceDN w:val="0"/>
        <w:adjustRightInd w:val="0"/>
        <w:spacing w:after="0" w:line="240" w:lineRule="auto"/>
        <w:jc w:val="both"/>
        <w:rPr>
          <w:rFonts w:ascii="Garamond" w:hAnsi="Garamond"/>
          <w:sz w:val="24"/>
          <w:szCs w:val="24"/>
        </w:rPr>
      </w:pPr>
    </w:p>
    <w:p w:rsidR="0042399E" w:rsidRDefault="005B23DD" w:rsidP="0042399E">
      <w:pPr>
        <w:pStyle w:val="CommentText"/>
        <w:jc w:val="both"/>
        <w:rPr>
          <w:rFonts w:ascii="Garamond" w:hAnsi="Garamond"/>
          <w:sz w:val="24"/>
          <w:szCs w:val="24"/>
        </w:rPr>
      </w:pPr>
      <w:r>
        <w:rPr>
          <w:rFonts w:ascii="Garamond" w:hAnsi="Garamond"/>
          <w:sz w:val="24"/>
          <w:szCs w:val="24"/>
        </w:rPr>
        <w:t xml:space="preserve">Despite robust economic growth in the past decades, ensuring inclusiveness has remained a problem. This requires a combination of growth enhancing interventions and social protection programs. Expansion of SMEs has been identified the main entry point for enhancing inclusiveness, but SMEs face a number of challenges related to finance, technical, market, premises and other. </w:t>
      </w:r>
      <w:r w:rsidR="0042399E">
        <w:rPr>
          <w:rFonts w:ascii="Garamond" w:hAnsi="Garamond"/>
          <w:sz w:val="24"/>
          <w:szCs w:val="24"/>
        </w:rPr>
        <w:t xml:space="preserve">The existing commercial banks don’t have a special window for SMEs services nor are there specialized financial institution to cater the needs of SMEs. This calls for </w:t>
      </w:r>
      <w:r w:rsidR="0042399E" w:rsidRPr="00856823">
        <w:rPr>
          <w:rFonts w:ascii="Garamond" w:hAnsi="Garamond"/>
          <w:sz w:val="24"/>
          <w:szCs w:val="24"/>
        </w:rPr>
        <w:t xml:space="preserve">promoting </w:t>
      </w:r>
      <w:r w:rsidR="0042399E">
        <w:rPr>
          <w:rFonts w:ascii="Garamond" w:hAnsi="Garamond"/>
          <w:sz w:val="24"/>
          <w:szCs w:val="24"/>
        </w:rPr>
        <w:t>S</w:t>
      </w:r>
      <w:r w:rsidR="0042399E" w:rsidRPr="00856823">
        <w:rPr>
          <w:rFonts w:ascii="Garamond" w:hAnsi="Garamond"/>
          <w:sz w:val="24"/>
          <w:szCs w:val="24"/>
        </w:rPr>
        <w:t xml:space="preserve">MEs through improving access to warehouses, relaxing credit constraints, and improving the macroeconomic and regulatory environment, the potential for </w:t>
      </w:r>
      <w:r w:rsidR="0042399E">
        <w:rPr>
          <w:rFonts w:ascii="Garamond" w:hAnsi="Garamond"/>
          <w:sz w:val="24"/>
          <w:szCs w:val="24"/>
        </w:rPr>
        <w:t>S</w:t>
      </w:r>
      <w:r w:rsidR="0042399E" w:rsidRPr="00856823">
        <w:rPr>
          <w:rFonts w:ascii="Garamond" w:hAnsi="Garamond"/>
          <w:sz w:val="24"/>
          <w:szCs w:val="24"/>
        </w:rPr>
        <w:t>MEs for creating more jobs will be severely compromised.</w:t>
      </w:r>
      <w:r w:rsidR="0042399E">
        <w:rPr>
          <w:rFonts w:ascii="Garamond" w:hAnsi="Garamond"/>
          <w:sz w:val="24"/>
          <w:szCs w:val="24"/>
        </w:rPr>
        <w:t xml:space="preserve"> </w:t>
      </w:r>
    </w:p>
    <w:p w:rsidR="0042399E" w:rsidRDefault="0042399E" w:rsidP="0042399E">
      <w:pPr>
        <w:pStyle w:val="CommentText"/>
        <w:jc w:val="both"/>
        <w:rPr>
          <w:rFonts w:ascii="Garamond" w:hAnsi="Garamond"/>
          <w:sz w:val="24"/>
          <w:szCs w:val="24"/>
        </w:rPr>
      </w:pPr>
    </w:p>
    <w:p w:rsidR="005B23DD" w:rsidRDefault="005B23DD" w:rsidP="005B23DD">
      <w:pPr>
        <w:autoSpaceDE w:val="0"/>
        <w:autoSpaceDN w:val="0"/>
        <w:adjustRightInd w:val="0"/>
        <w:spacing w:after="0" w:line="240" w:lineRule="auto"/>
        <w:jc w:val="both"/>
        <w:rPr>
          <w:rFonts w:ascii="Garamond" w:eastAsiaTheme="minorHAnsi" w:hAnsi="Garamond" w:cs="MyriadPro-Regular"/>
          <w:sz w:val="24"/>
          <w:szCs w:val="24"/>
          <w:lang w:val="en-GB"/>
        </w:rPr>
      </w:pPr>
      <w:r w:rsidRPr="008314A0">
        <w:rPr>
          <w:rFonts w:ascii="Garamond" w:eastAsiaTheme="minorHAnsi" w:hAnsi="Garamond" w:cs="MyriadPro-Regular"/>
          <w:sz w:val="24"/>
          <w:szCs w:val="24"/>
          <w:lang w:val="en-GB"/>
        </w:rPr>
        <w:t xml:space="preserve">A more strategic and innovative management of ODA, SSC and CCF is required. ODA, </w:t>
      </w:r>
      <w:r w:rsidR="006B0AE7">
        <w:rPr>
          <w:rFonts w:ascii="Garamond" w:eastAsiaTheme="minorHAnsi" w:hAnsi="Garamond" w:cs="MyriadPro-Regular"/>
          <w:sz w:val="24"/>
          <w:szCs w:val="24"/>
          <w:lang w:val="en-GB"/>
        </w:rPr>
        <w:t>South-South Cooperation (</w:t>
      </w:r>
      <w:r w:rsidRPr="008314A0">
        <w:rPr>
          <w:rFonts w:ascii="Garamond" w:eastAsiaTheme="minorHAnsi" w:hAnsi="Garamond" w:cs="MyriadPro-Regular"/>
          <w:sz w:val="24"/>
          <w:szCs w:val="24"/>
          <w:lang w:val="en-GB"/>
        </w:rPr>
        <w:t>SSC</w:t>
      </w:r>
      <w:r w:rsidR="006B0AE7">
        <w:rPr>
          <w:rFonts w:ascii="Garamond" w:eastAsiaTheme="minorHAnsi" w:hAnsi="Garamond" w:cs="MyriadPro-Regular"/>
          <w:sz w:val="24"/>
          <w:szCs w:val="24"/>
          <w:lang w:val="en-GB"/>
        </w:rPr>
        <w:t>)</w:t>
      </w:r>
      <w:r w:rsidRPr="008314A0">
        <w:rPr>
          <w:rFonts w:ascii="Garamond" w:eastAsiaTheme="minorHAnsi" w:hAnsi="Garamond" w:cs="MyriadPro-Regular"/>
          <w:sz w:val="24"/>
          <w:szCs w:val="24"/>
          <w:lang w:val="en-GB"/>
        </w:rPr>
        <w:t xml:space="preserve"> and </w:t>
      </w:r>
      <w:r w:rsidR="006B0AE7">
        <w:rPr>
          <w:rFonts w:ascii="Garamond" w:eastAsiaTheme="minorHAnsi" w:hAnsi="Garamond" w:cs="MyriadPro-Regular"/>
          <w:sz w:val="24"/>
          <w:szCs w:val="24"/>
          <w:lang w:val="en-GB"/>
        </w:rPr>
        <w:t>climate change finance (</w:t>
      </w:r>
      <w:r w:rsidRPr="008314A0">
        <w:rPr>
          <w:rFonts w:ascii="Garamond" w:eastAsiaTheme="minorHAnsi" w:hAnsi="Garamond" w:cs="MyriadPro-Regular"/>
          <w:sz w:val="24"/>
          <w:szCs w:val="24"/>
          <w:lang w:val="en-GB"/>
        </w:rPr>
        <w:t>CCF</w:t>
      </w:r>
      <w:r w:rsidR="006B0AE7">
        <w:rPr>
          <w:rFonts w:ascii="Garamond" w:eastAsiaTheme="minorHAnsi" w:hAnsi="Garamond" w:cs="MyriadPro-Regular"/>
          <w:sz w:val="24"/>
          <w:szCs w:val="24"/>
          <w:lang w:val="en-GB"/>
        </w:rPr>
        <w:t>)</w:t>
      </w:r>
      <w:r w:rsidRPr="008314A0">
        <w:rPr>
          <w:rFonts w:ascii="Garamond" w:eastAsiaTheme="minorHAnsi" w:hAnsi="Garamond" w:cs="MyriadPro-Regular"/>
          <w:sz w:val="24"/>
          <w:szCs w:val="24"/>
          <w:lang w:val="en-GB"/>
        </w:rPr>
        <w:t xml:space="preserve"> are key resources from which to begin to build an integrated financing strategy. They are all linked with international public flows of finance and have some relationship with national budgets.</w:t>
      </w:r>
      <w:r w:rsidRPr="008314A0">
        <w:rPr>
          <w:rFonts w:ascii="Garamond" w:eastAsiaTheme="minorHAnsi" w:hAnsi="Garamond" w:cs="MyriadPro-It"/>
          <w:i/>
          <w:iCs/>
          <w:sz w:val="24"/>
          <w:szCs w:val="24"/>
          <w:lang w:val="en-GB"/>
        </w:rPr>
        <w:t xml:space="preserve"> </w:t>
      </w:r>
      <w:r w:rsidRPr="008314A0">
        <w:rPr>
          <w:rFonts w:ascii="Garamond" w:eastAsiaTheme="minorHAnsi" w:hAnsi="Garamond" w:cs="MyriadPro-It"/>
          <w:iCs/>
          <w:sz w:val="24"/>
          <w:szCs w:val="24"/>
          <w:lang w:val="en-GB"/>
        </w:rPr>
        <w:t xml:space="preserve">It is necessary to further exploit the synergies between ODA and </w:t>
      </w:r>
      <w:r w:rsidR="008E1B40">
        <w:rPr>
          <w:rFonts w:ascii="Garamond" w:eastAsiaTheme="minorHAnsi" w:hAnsi="Garamond" w:cs="MyriadPro-It"/>
          <w:iCs/>
          <w:sz w:val="24"/>
          <w:szCs w:val="24"/>
          <w:lang w:val="en-GB"/>
        </w:rPr>
        <w:t>CCF</w:t>
      </w:r>
      <w:r w:rsidRPr="008314A0">
        <w:rPr>
          <w:rFonts w:ascii="Garamond" w:eastAsiaTheme="minorHAnsi" w:hAnsi="Garamond" w:cs="MyriadPro-It"/>
          <w:iCs/>
          <w:sz w:val="24"/>
          <w:szCs w:val="24"/>
          <w:lang w:val="en-GB"/>
        </w:rPr>
        <w:t xml:space="preserve"> and</w:t>
      </w:r>
      <w:r w:rsidR="008E1B40">
        <w:rPr>
          <w:rFonts w:ascii="Garamond" w:eastAsiaTheme="minorHAnsi" w:hAnsi="Garamond" w:cs="MyriadPro-It"/>
          <w:iCs/>
          <w:sz w:val="24"/>
          <w:szCs w:val="24"/>
          <w:lang w:val="en-GB"/>
        </w:rPr>
        <w:t xml:space="preserve"> advocate </w:t>
      </w:r>
      <w:r w:rsidRPr="008314A0">
        <w:rPr>
          <w:rFonts w:ascii="Garamond" w:eastAsiaTheme="minorHAnsi" w:hAnsi="Garamond" w:cs="MyriadPro-It"/>
          <w:iCs/>
          <w:sz w:val="24"/>
          <w:szCs w:val="24"/>
          <w:lang w:val="en-GB"/>
        </w:rPr>
        <w:t xml:space="preserve">availability and additionality of </w:t>
      </w:r>
      <w:r w:rsidRPr="007D0B3A">
        <w:rPr>
          <w:rFonts w:ascii="Garamond" w:eastAsiaTheme="minorHAnsi" w:hAnsi="Garamond" w:cs="MyriadPro-It"/>
          <w:iCs/>
          <w:sz w:val="24"/>
          <w:szCs w:val="24"/>
          <w:lang w:val="en-GB"/>
        </w:rPr>
        <w:t>resources</w:t>
      </w:r>
      <w:r w:rsidRPr="007D0B3A">
        <w:rPr>
          <w:rFonts w:ascii="Garamond" w:eastAsiaTheme="minorHAnsi" w:hAnsi="Garamond" w:cs="MyriadPro-Bold"/>
          <w:bCs/>
          <w:sz w:val="24"/>
          <w:szCs w:val="24"/>
          <w:lang w:val="en-GB"/>
        </w:rPr>
        <w:t>.</w:t>
      </w:r>
      <w:r w:rsidRPr="008314A0">
        <w:rPr>
          <w:rFonts w:ascii="Garamond" w:eastAsiaTheme="minorHAnsi" w:hAnsi="Garamond" w:cs="MyriadPro-Regular"/>
          <w:sz w:val="24"/>
          <w:szCs w:val="24"/>
          <w:lang w:val="en-GB"/>
        </w:rPr>
        <w:t xml:space="preserve"> </w:t>
      </w:r>
      <w:r>
        <w:rPr>
          <w:rFonts w:ascii="Garamond" w:eastAsiaTheme="minorHAnsi" w:hAnsi="Garamond" w:cs="MyriadPro-Regular"/>
          <w:sz w:val="24"/>
          <w:szCs w:val="24"/>
          <w:lang w:val="en-GB"/>
        </w:rPr>
        <w:t>In this regard, a</w:t>
      </w:r>
      <w:r w:rsidRPr="008314A0">
        <w:rPr>
          <w:rFonts w:ascii="Garamond" w:eastAsiaTheme="minorHAnsi" w:hAnsi="Garamond" w:cs="MyriadPro-Regular"/>
          <w:sz w:val="24"/>
          <w:szCs w:val="24"/>
          <w:lang w:val="en-GB"/>
        </w:rPr>
        <w:t xml:space="preserve"> coherent framework is needed to ensure that climate finance is new and additio</w:t>
      </w:r>
      <w:r>
        <w:rPr>
          <w:rFonts w:ascii="Garamond" w:eastAsiaTheme="minorHAnsi" w:hAnsi="Garamond" w:cs="MyriadPro-Regular"/>
          <w:sz w:val="24"/>
          <w:szCs w:val="24"/>
          <w:lang w:val="en-GB"/>
        </w:rPr>
        <w:t xml:space="preserve">nal to existing ODA commitments </w:t>
      </w:r>
      <w:r w:rsidR="000176DD">
        <w:rPr>
          <w:rFonts w:ascii="Garamond" w:eastAsiaTheme="minorHAnsi" w:hAnsi="Garamond" w:cs="MyriadPro-Regular"/>
          <w:sz w:val="24"/>
          <w:szCs w:val="24"/>
          <w:lang w:val="en-GB"/>
        </w:rPr>
        <w:t xml:space="preserve">and there is also a need </w:t>
      </w:r>
      <w:r>
        <w:rPr>
          <w:rFonts w:ascii="Garamond" w:eastAsiaTheme="minorHAnsi" w:hAnsi="Garamond" w:cs="MyriadPro-Regular"/>
          <w:sz w:val="24"/>
          <w:szCs w:val="24"/>
          <w:lang w:val="en-GB"/>
        </w:rPr>
        <w:t xml:space="preserve">to ensure </w:t>
      </w:r>
      <w:r w:rsidRPr="008314A0">
        <w:rPr>
          <w:rFonts w:ascii="Garamond" w:eastAsiaTheme="minorHAnsi" w:hAnsi="Garamond" w:cs="MyriadPro-It"/>
          <w:iCs/>
          <w:sz w:val="24"/>
          <w:szCs w:val="24"/>
          <w:lang w:val="en-GB"/>
        </w:rPr>
        <w:t>integrat</w:t>
      </w:r>
      <w:r>
        <w:rPr>
          <w:rFonts w:ascii="Garamond" w:eastAsiaTheme="minorHAnsi" w:hAnsi="Garamond" w:cs="MyriadPro-It"/>
          <w:iCs/>
          <w:sz w:val="24"/>
          <w:szCs w:val="24"/>
          <w:lang w:val="en-GB"/>
        </w:rPr>
        <w:t xml:space="preserve">ion of </w:t>
      </w:r>
      <w:r w:rsidRPr="008314A0">
        <w:rPr>
          <w:rFonts w:ascii="Garamond" w:eastAsiaTheme="minorHAnsi" w:hAnsi="Garamond" w:cs="MyriadPro-It"/>
          <w:iCs/>
          <w:sz w:val="24"/>
          <w:szCs w:val="24"/>
          <w:lang w:val="en-GB"/>
        </w:rPr>
        <w:t>climate</w:t>
      </w:r>
      <w:r>
        <w:rPr>
          <w:rFonts w:ascii="Garamond" w:eastAsiaTheme="minorHAnsi" w:hAnsi="Garamond" w:cs="MyriadPro-It"/>
          <w:iCs/>
          <w:sz w:val="24"/>
          <w:szCs w:val="24"/>
          <w:lang w:val="en-GB"/>
        </w:rPr>
        <w:t xml:space="preserve"> </w:t>
      </w:r>
      <w:r w:rsidRPr="008314A0">
        <w:rPr>
          <w:rFonts w:ascii="Garamond" w:eastAsiaTheme="minorHAnsi" w:hAnsi="Garamond" w:cs="MyriadPro-It"/>
          <w:iCs/>
          <w:sz w:val="24"/>
          <w:szCs w:val="24"/>
          <w:lang w:val="en-GB"/>
        </w:rPr>
        <w:t xml:space="preserve">funding within the overall national development </w:t>
      </w:r>
      <w:r w:rsidRPr="006B0AE7">
        <w:rPr>
          <w:rFonts w:ascii="Garamond" w:eastAsiaTheme="minorHAnsi" w:hAnsi="Garamond" w:cs="MyriadPro-Regular"/>
          <w:sz w:val="24"/>
          <w:szCs w:val="24"/>
          <w:lang w:val="en-GB"/>
        </w:rPr>
        <w:t>strategy.</w:t>
      </w:r>
      <w:r w:rsidR="006B0AE7" w:rsidRPr="006B0AE7">
        <w:rPr>
          <w:rFonts w:ascii="Garamond" w:eastAsiaTheme="minorHAnsi" w:hAnsi="Garamond" w:cs="MyriadPro-Regular"/>
          <w:sz w:val="24"/>
          <w:szCs w:val="24"/>
          <w:lang w:val="en-GB"/>
        </w:rPr>
        <w:t xml:space="preserve"> </w:t>
      </w:r>
    </w:p>
    <w:p w:rsidR="000176DD" w:rsidRDefault="000176DD" w:rsidP="005B23DD">
      <w:pPr>
        <w:autoSpaceDE w:val="0"/>
        <w:autoSpaceDN w:val="0"/>
        <w:adjustRightInd w:val="0"/>
        <w:spacing w:after="0" w:line="240" w:lineRule="auto"/>
        <w:jc w:val="both"/>
        <w:rPr>
          <w:rFonts w:ascii="Garamond" w:eastAsiaTheme="minorHAnsi" w:hAnsi="Garamond" w:cs="MyriadPro-It"/>
          <w:iCs/>
          <w:sz w:val="24"/>
          <w:szCs w:val="24"/>
          <w:lang w:val="en-GB"/>
        </w:rPr>
      </w:pPr>
    </w:p>
    <w:p w:rsidR="005B23DD" w:rsidRDefault="005B23DD" w:rsidP="005B23DD">
      <w:pPr>
        <w:autoSpaceDE w:val="0"/>
        <w:autoSpaceDN w:val="0"/>
        <w:adjustRightInd w:val="0"/>
        <w:spacing w:after="0" w:line="240" w:lineRule="auto"/>
        <w:jc w:val="both"/>
        <w:rPr>
          <w:rFonts w:ascii="Garamond" w:eastAsiaTheme="minorHAnsi" w:hAnsi="Garamond" w:cs="MyriadPro-It"/>
          <w:iCs/>
          <w:sz w:val="24"/>
          <w:szCs w:val="24"/>
          <w:lang w:val="en-GB"/>
        </w:rPr>
      </w:pPr>
      <w:r w:rsidRPr="007D0B3A">
        <w:rPr>
          <w:rFonts w:ascii="Garamond" w:eastAsiaTheme="minorHAnsi" w:hAnsi="Garamond" w:cs="MyriadPro-Regular"/>
          <w:sz w:val="24"/>
          <w:szCs w:val="24"/>
          <w:lang w:val="en-GB"/>
        </w:rPr>
        <w:t>Remittances have become an important source of foreign exchange in Ethiopia and helped narrow the deficit in the balance of payments. Remittances are potentially important for promoting inclusive finance and promoting expansion of SMEs</w:t>
      </w:r>
      <w:r>
        <w:rPr>
          <w:rFonts w:ascii="Garamond" w:eastAsiaTheme="minorHAnsi" w:hAnsi="Garamond" w:cs="MyriadPro-Regular"/>
          <w:sz w:val="24"/>
          <w:szCs w:val="24"/>
          <w:lang w:val="en-GB"/>
        </w:rPr>
        <w:t xml:space="preserve">, but GTP-II </w:t>
      </w:r>
      <w:r w:rsidRPr="00113141">
        <w:rPr>
          <w:rFonts w:ascii="Garamond" w:hAnsi="Garamond"/>
          <w:sz w:val="24"/>
          <w:szCs w:val="24"/>
        </w:rPr>
        <w:t xml:space="preserve">does not explicitly </w:t>
      </w:r>
      <w:r>
        <w:rPr>
          <w:rFonts w:ascii="Garamond" w:hAnsi="Garamond"/>
          <w:sz w:val="24"/>
          <w:szCs w:val="24"/>
        </w:rPr>
        <w:t xml:space="preserve">provide details about remittances nor </w:t>
      </w:r>
      <w:r w:rsidRPr="00113141">
        <w:rPr>
          <w:rFonts w:ascii="Garamond" w:hAnsi="Garamond"/>
          <w:sz w:val="24"/>
          <w:szCs w:val="24"/>
        </w:rPr>
        <w:t>any explicit operational linkages between national priorities</w:t>
      </w:r>
      <w:r w:rsidRPr="007D0B3A">
        <w:rPr>
          <w:rFonts w:ascii="Garamond" w:eastAsiaTheme="minorHAnsi" w:hAnsi="Garamond" w:cs="MyriadPro-Regular"/>
          <w:sz w:val="24"/>
          <w:szCs w:val="24"/>
          <w:lang w:val="en-GB"/>
        </w:rPr>
        <w:t xml:space="preserve">. </w:t>
      </w:r>
      <w:r w:rsidRPr="007D0B3A">
        <w:rPr>
          <w:rFonts w:ascii="Garamond" w:eastAsiaTheme="minorHAnsi" w:hAnsi="Garamond" w:cs="MyriadPro-It"/>
          <w:iCs/>
          <w:sz w:val="24"/>
          <w:szCs w:val="24"/>
          <w:lang w:val="en-GB"/>
        </w:rPr>
        <w:t xml:space="preserve">There is </w:t>
      </w:r>
      <w:r>
        <w:rPr>
          <w:rFonts w:ascii="Garamond" w:eastAsiaTheme="minorHAnsi" w:hAnsi="Garamond" w:cs="MyriadPro-It"/>
          <w:iCs/>
          <w:sz w:val="24"/>
          <w:szCs w:val="24"/>
          <w:lang w:val="en-GB"/>
        </w:rPr>
        <w:t>a</w:t>
      </w:r>
      <w:r w:rsidRPr="007D0B3A">
        <w:rPr>
          <w:rFonts w:ascii="Garamond" w:eastAsiaTheme="minorHAnsi" w:hAnsi="Garamond" w:cs="MyriadPro-It"/>
          <w:iCs/>
          <w:sz w:val="24"/>
          <w:szCs w:val="24"/>
          <w:lang w:val="en-GB"/>
        </w:rPr>
        <w:t xml:space="preserve"> potential to increase remittances</w:t>
      </w:r>
      <w:r w:rsidRPr="007D0B3A">
        <w:rPr>
          <w:rFonts w:ascii="Garamond" w:hAnsi="Garamond"/>
          <w:sz w:val="24"/>
          <w:szCs w:val="24"/>
        </w:rPr>
        <w:t xml:space="preserve"> through encouraging other institutions, such as post offices, cooperatives, </w:t>
      </w:r>
      <w:r w:rsidRPr="007D0B3A">
        <w:rPr>
          <w:rFonts w:ascii="Garamond" w:eastAsiaTheme="minorHAnsi" w:hAnsi="Garamond" w:cs="MyriadPro-Regular"/>
          <w:sz w:val="24"/>
          <w:szCs w:val="24"/>
          <w:lang w:val="en-GB"/>
        </w:rPr>
        <w:t>microfinance institutions, or possibly telecom operators to play a larger role in money transfer.</w:t>
      </w:r>
      <w:r>
        <w:rPr>
          <w:rFonts w:ascii="Garamond" w:eastAsiaTheme="minorHAnsi" w:hAnsi="Garamond" w:cs="MyriadPro-Regular"/>
          <w:sz w:val="24"/>
          <w:szCs w:val="24"/>
          <w:lang w:val="en-GB"/>
        </w:rPr>
        <w:t xml:space="preserve"> </w:t>
      </w:r>
      <w:r w:rsidRPr="00476685">
        <w:rPr>
          <w:rFonts w:ascii="Garamond" w:eastAsiaTheme="minorHAnsi" w:hAnsi="Garamond" w:cs="MyriadPro-It"/>
          <w:iCs/>
          <w:sz w:val="24"/>
          <w:szCs w:val="24"/>
          <w:lang w:val="en-GB"/>
        </w:rPr>
        <w:t xml:space="preserve">There </w:t>
      </w:r>
      <w:r>
        <w:rPr>
          <w:rFonts w:ascii="Garamond" w:eastAsiaTheme="minorHAnsi" w:hAnsi="Garamond" w:cs="MyriadPro-It"/>
          <w:iCs/>
          <w:sz w:val="24"/>
          <w:szCs w:val="24"/>
          <w:lang w:val="en-GB"/>
        </w:rPr>
        <w:t xml:space="preserve">could also help increase </w:t>
      </w:r>
      <w:r w:rsidRPr="00476685">
        <w:rPr>
          <w:rFonts w:ascii="Garamond" w:eastAsiaTheme="minorHAnsi" w:hAnsi="Garamond" w:cs="MyriadPro-It"/>
          <w:iCs/>
          <w:sz w:val="24"/>
          <w:szCs w:val="24"/>
          <w:lang w:val="en-GB"/>
        </w:rPr>
        <w:t>remittance-related investment directed to investment in owned/partnership farms/business, agricultural machinery purchase or in other types of SME investment.</w:t>
      </w:r>
    </w:p>
    <w:p w:rsidR="005B23DD" w:rsidRPr="00476685" w:rsidRDefault="005B23DD" w:rsidP="005B23DD">
      <w:pPr>
        <w:autoSpaceDE w:val="0"/>
        <w:autoSpaceDN w:val="0"/>
        <w:adjustRightInd w:val="0"/>
        <w:spacing w:after="0" w:line="240" w:lineRule="auto"/>
        <w:jc w:val="both"/>
        <w:rPr>
          <w:rFonts w:ascii="Garamond" w:eastAsiaTheme="minorHAnsi" w:hAnsi="Garamond" w:cs="MyriadPro-It"/>
          <w:iCs/>
          <w:sz w:val="24"/>
          <w:szCs w:val="24"/>
          <w:lang w:val="en-GB"/>
        </w:rPr>
      </w:pPr>
    </w:p>
    <w:p w:rsidR="005B23DD" w:rsidRDefault="005B23DD" w:rsidP="005B23DD">
      <w:pPr>
        <w:autoSpaceDE w:val="0"/>
        <w:autoSpaceDN w:val="0"/>
        <w:adjustRightInd w:val="0"/>
        <w:spacing w:after="0" w:line="240" w:lineRule="auto"/>
        <w:jc w:val="both"/>
        <w:rPr>
          <w:rFonts w:ascii="Garamond" w:hAnsi="Garamond"/>
          <w:sz w:val="24"/>
          <w:szCs w:val="24"/>
        </w:rPr>
      </w:pPr>
      <w:r>
        <w:rPr>
          <w:rFonts w:ascii="Garamond" w:eastAsiaTheme="minorHAnsi" w:hAnsi="Garamond" w:cs="MyriadPro-It"/>
          <w:iCs/>
          <w:sz w:val="24"/>
          <w:szCs w:val="24"/>
          <w:lang w:val="en-GB"/>
        </w:rPr>
        <w:t>Despite efforts by the government to improve the business environment, bottlenecks still remain.  Private investment is beset by a number of challenges including high logistics cost, limited credit access, weak coordination among public service providers, and other infrastructural bottlenecks. I</w:t>
      </w:r>
      <w:r>
        <w:rPr>
          <w:rFonts w:ascii="Garamond" w:hAnsi="Garamond"/>
          <w:sz w:val="24"/>
          <w:szCs w:val="24"/>
        </w:rPr>
        <w:t xml:space="preserve">nterventions are required to enhance the domestic private sector and attract FDI including </w:t>
      </w:r>
      <w:r w:rsidRPr="00A7093E">
        <w:rPr>
          <w:rFonts w:ascii="Garamond" w:hAnsi="Garamond"/>
          <w:sz w:val="24"/>
          <w:szCs w:val="24"/>
        </w:rPr>
        <w:t>expansion of special economic zones or specialized industrial parks with the required infrastructure</w:t>
      </w:r>
      <w:r>
        <w:rPr>
          <w:rFonts w:ascii="Garamond" w:hAnsi="Garamond"/>
          <w:sz w:val="24"/>
          <w:szCs w:val="24"/>
        </w:rPr>
        <w:t xml:space="preserve">, </w:t>
      </w:r>
      <w:r w:rsidRPr="00A7093E">
        <w:rPr>
          <w:rFonts w:ascii="Garamond" w:hAnsi="Garamond"/>
          <w:sz w:val="24"/>
          <w:szCs w:val="24"/>
        </w:rPr>
        <w:t>streamlined public procedures as well as fiscal and trade policy incentives</w:t>
      </w:r>
      <w:r>
        <w:rPr>
          <w:rFonts w:ascii="Garamond" w:hAnsi="Garamond"/>
          <w:sz w:val="24"/>
          <w:szCs w:val="24"/>
        </w:rPr>
        <w:t xml:space="preserve">, </w:t>
      </w:r>
      <w:r w:rsidRPr="00A7093E">
        <w:rPr>
          <w:rFonts w:ascii="Garamond" w:hAnsi="Garamond"/>
          <w:sz w:val="24"/>
          <w:szCs w:val="24"/>
        </w:rPr>
        <w:t>provid</w:t>
      </w:r>
      <w:r>
        <w:rPr>
          <w:rFonts w:ascii="Garamond" w:hAnsi="Garamond"/>
          <w:sz w:val="24"/>
          <w:szCs w:val="24"/>
        </w:rPr>
        <w:t>e</w:t>
      </w:r>
      <w:r w:rsidRPr="00A7093E">
        <w:rPr>
          <w:rFonts w:ascii="Garamond" w:hAnsi="Garamond"/>
          <w:sz w:val="24"/>
          <w:szCs w:val="24"/>
        </w:rPr>
        <w:t xml:space="preserve"> more efficient trade lo</w:t>
      </w:r>
      <w:r>
        <w:rPr>
          <w:rFonts w:ascii="Garamond" w:hAnsi="Garamond"/>
          <w:sz w:val="24"/>
          <w:szCs w:val="24"/>
        </w:rPr>
        <w:t xml:space="preserve">gistics and transport services and </w:t>
      </w:r>
      <w:r w:rsidRPr="00A7093E">
        <w:rPr>
          <w:rFonts w:ascii="Garamond" w:hAnsi="Garamond"/>
          <w:sz w:val="24"/>
          <w:szCs w:val="24"/>
        </w:rPr>
        <w:t>energy supply, supply of land mainly through industrial parks approach, trade</w:t>
      </w:r>
      <w:r>
        <w:rPr>
          <w:rFonts w:ascii="Garamond" w:hAnsi="Garamond"/>
          <w:sz w:val="24"/>
          <w:szCs w:val="24"/>
        </w:rPr>
        <w:t xml:space="preserve"> and customs facilitations,</w:t>
      </w:r>
      <w:r w:rsidRPr="00A7093E">
        <w:rPr>
          <w:rFonts w:ascii="Garamond" w:hAnsi="Garamond"/>
          <w:sz w:val="24"/>
          <w:szCs w:val="24"/>
        </w:rPr>
        <w:t xml:space="preserve"> and priority supply of credit and foreign exchange</w:t>
      </w:r>
      <w:r>
        <w:rPr>
          <w:rFonts w:ascii="Garamond" w:hAnsi="Garamond"/>
          <w:sz w:val="24"/>
          <w:szCs w:val="24"/>
        </w:rPr>
        <w:t xml:space="preserve">. </w:t>
      </w:r>
    </w:p>
    <w:p w:rsidR="005B23DD" w:rsidRDefault="005B23DD" w:rsidP="005B23DD">
      <w:pPr>
        <w:autoSpaceDE w:val="0"/>
        <w:autoSpaceDN w:val="0"/>
        <w:adjustRightInd w:val="0"/>
        <w:spacing w:after="0" w:line="240" w:lineRule="auto"/>
        <w:jc w:val="both"/>
        <w:rPr>
          <w:rFonts w:ascii="Garamond" w:hAnsi="Garamond"/>
          <w:sz w:val="24"/>
          <w:szCs w:val="24"/>
        </w:rPr>
      </w:pPr>
    </w:p>
    <w:p w:rsidR="005B23DD" w:rsidRDefault="005B23DD" w:rsidP="005B23DD">
      <w:pPr>
        <w:autoSpaceDE w:val="0"/>
        <w:autoSpaceDN w:val="0"/>
        <w:adjustRightInd w:val="0"/>
        <w:spacing w:after="0" w:line="240" w:lineRule="auto"/>
        <w:jc w:val="both"/>
        <w:rPr>
          <w:rFonts w:ascii="Garamond" w:hAnsi="Garamond"/>
          <w:sz w:val="24"/>
          <w:szCs w:val="24"/>
        </w:rPr>
      </w:pPr>
      <w:r w:rsidRPr="00F43DBC">
        <w:rPr>
          <w:rFonts w:ascii="Garamond" w:hAnsi="Garamond"/>
          <w:sz w:val="24"/>
          <w:szCs w:val="24"/>
        </w:rPr>
        <w:t xml:space="preserve">Availability and quality data and information remain a challenge. Improvement of national data, information and knowledge availability is also needed. While the availability of data has improved, there is still scope to build and improve the quality of existing statistical and </w:t>
      </w:r>
      <w:r w:rsidR="00E0611B">
        <w:rPr>
          <w:rFonts w:ascii="Garamond" w:hAnsi="Garamond"/>
          <w:sz w:val="24"/>
          <w:szCs w:val="24"/>
        </w:rPr>
        <w:t>management i</w:t>
      </w:r>
      <w:r w:rsidRPr="00F43DBC">
        <w:rPr>
          <w:rFonts w:ascii="Garamond" w:hAnsi="Garamond"/>
          <w:sz w:val="24"/>
          <w:szCs w:val="24"/>
        </w:rPr>
        <w:t xml:space="preserve">nformation Systems. Domestic and external climate finance needs to be tracked across ministries, using </w:t>
      </w:r>
      <w:r>
        <w:rPr>
          <w:rFonts w:ascii="Garamond" w:hAnsi="Garamond"/>
          <w:sz w:val="24"/>
          <w:szCs w:val="24"/>
        </w:rPr>
        <w:t xml:space="preserve">climate fiscal framework. </w:t>
      </w:r>
      <w:r w:rsidRPr="00F43DBC">
        <w:rPr>
          <w:rFonts w:ascii="Garamond" w:hAnsi="Garamond"/>
          <w:sz w:val="24"/>
          <w:szCs w:val="24"/>
        </w:rPr>
        <w:t xml:space="preserve">There are </w:t>
      </w:r>
      <w:r>
        <w:rPr>
          <w:rFonts w:ascii="Garamond" w:hAnsi="Garamond"/>
          <w:sz w:val="24"/>
          <w:szCs w:val="24"/>
        </w:rPr>
        <w:t xml:space="preserve">also </w:t>
      </w:r>
      <w:r w:rsidRPr="00F43DBC">
        <w:rPr>
          <w:rFonts w:ascii="Garamond" w:hAnsi="Garamond"/>
          <w:sz w:val="24"/>
          <w:szCs w:val="24"/>
        </w:rPr>
        <w:t>several other areas</w:t>
      </w:r>
      <w:r>
        <w:rPr>
          <w:rFonts w:ascii="Garamond" w:hAnsi="Garamond"/>
          <w:sz w:val="24"/>
          <w:szCs w:val="24"/>
        </w:rPr>
        <w:t xml:space="preserve"> </w:t>
      </w:r>
      <w:r w:rsidRPr="00F43DBC">
        <w:rPr>
          <w:rFonts w:ascii="Garamond" w:hAnsi="Garamond"/>
          <w:sz w:val="24"/>
          <w:szCs w:val="24"/>
        </w:rPr>
        <w:t>(</w:t>
      </w:r>
      <w:r>
        <w:rPr>
          <w:rFonts w:ascii="Garamond" w:hAnsi="Garamond"/>
          <w:sz w:val="24"/>
          <w:szCs w:val="24"/>
        </w:rPr>
        <w:t xml:space="preserve">e.g. </w:t>
      </w:r>
      <w:r w:rsidRPr="00F43DBC">
        <w:rPr>
          <w:rFonts w:ascii="Garamond" w:hAnsi="Garamond"/>
          <w:sz w:val="24"/>
          <w:szCs w:val="24"/>
        </w:rPr>
        <w:t xml:space="preserve">PPPs, </w:t>
      </w:r>
      <w:r>
        <w:rPr>
          <w:rFonts w:ascii="Garamond" w:hAnsi="Garamond"/>
          <w:sz w:val="24"/>
          <w:szCs w:val="24"/>
        </w:rPr>
        <w:t xml:space="preserve">NGOs, </w:t>
      </w:r>
      <w:r w:rsidRPr="00F43DBC">
        <w:rPr>
          <w:rFonts w:ascii="Garamond" w:hAnsi="Garamond"/>
          <w:sz w:val="24"/>
          <w:szCs w:val="24"/>
        </w:rPr>
        <w:t xml:space="preserve">and </w:t>
      </w:r>
      <w:r>
        <w:rPr>
          <w:rFonts w:ascii="Garamond" w:hAnsi="Garamond"/>
          <w:sz w:val="24"/>
          <w:szCs w:val="24"/>
        </w:rPr>
        <w:t>domestic climate finance, and philanthropy</w:t>
      </w:r>
      <w:r w:rsidRPr="00F43DBC">
        <w:rPr>
          <w:rFonts w:ascii="Garamond" w:hAnsi="Garamond"/>
          <w:sz w:val="24"/>
          <w:szCs w:val="24"/>
        </w:rPr>
        <w:t>) where key data is not systematically collected</w:t>
      </w:r>
      <w:r>
        <w:rPr>
          <w:rFonts w:ascii="Garamond" w:hAnsi="Garamond"/>
          <w:sz w:val="24"/>
          <w:szCs w:val="24"/>
        </w:rPr>
        <w:t xml:space="preserve">. </w:t>
      </w:r>
      <w:r w:rsidRPr="00F43DBC">
        <w:rPr>
          <w:rFonts w:ascii="Garamond" w:hAnsi="Garamond"/>
          <w:sz w:val="24"/>
          <w:szCs w:val="24"/>
        </w:rPr>
        <w:t xml:space="preserve">Overall, the </w:t>
      </w:r>
      <w:r w:rsidRPr="00F43DBC">
        <w:rPr>
          <w:rFonts w:ascii="Garamond" w:hAnsi="Garamond"/>
          <w:sz w:val="24"/>
          <w:szCs w:val="24"/>
        </w:rPr>
        <w:lastRenderedPageBreak/>
        <w:t>production of knowledge need</w:t>
      </w:r>
      <w:r>
        <w:rPr>
          <w:rFonts w:ascii="Garamond" w:hAnsi="Garamond"/>
          <w:sz w:val="24"/>
          <w:szCs w:val="24"/>
        </w:rPr>
        <w:t xml:space="preserve">s to be improved through investment, which </w:t>
      </w:r>
      <w:r w:rsidRPr="00F43DBC">
        <w:rPr>
          <w:rFonts w:ascii="Garamond" w:hAnsi="Garamond"/>
          <w:sz w:val="24"/>
          <w:szCs w:val="24"/>
        </w:rPr>
        <w:t>could add value to the management of financial flows.</w:t>
      </w:r>
    </w:p>
    <w:p w:rsidR="00A126F9" w:rsidRDefault="00A126F9" w:rsidP="005B23DD">
      <w:pPr>
        <w:autoSpaceDE w:val="0"/>
        <w:autoSpaceDN w:val="0"/>
        <w:adjustRightInd w:val="0"/>
        <w:spacing w:after="0" w:line="240" w:lineRule="auto"/>
        <w:jc w:val="both"/>
        <w:rPr>
          <w:rFonts w:ascii="Garamond" w:hAnsi="Garamond"/>
          <w:sz w:val="24"/>
          <w:szCs w:val="24"/>
        </w:rPr>
      </w:pPr>
    </w:p>
    <w:p w:rsidR="003C0725" w:rsidRPr="004D3C59" w:rsidRDefault="005B23DD" w:rsidP="004D3C59">
      <w:pPr>
        <w:pStyle w:val="Heading2"/>
        <w:rPr>
          <w:rFonts w:ascii="Garamond" w:hAnsi="Garamond"/>
          <w:b/>
          <w:sz w:val="24"/>
          <w:szCs w:val="24"/>
        </w:rPr>
      </w:pPr>
      <w:bookmarkStart w:id="95" w:name="_Toc486782284"/>
      <w:r w:rsidRPr="004D3C59">
        <w:rPr>
          <w:rFonts w:ascii="Garamond" w:hAnsi="Garamond"/>
          <w:b/>
          <w:sz w:val="24"/>
          <w:szCs w:val="24"/>
        </w:rPr>
        <w:t xml:space="preserve">7.2 </w:t>
      </w:r>
      <w:r w:rsidR="008E3E62" w:rsidRPr="004D3C59">
        <w:rPr>
          <w:rFonts w:ascii="Garamond" w:hAnsi="Garamond"/>
          <w:b/>
          <w:sz w:val="24"/>
          <w:szCs w:val="24"/>
        </w:rPr>
        <w:t>Priority areas</w:t>
      </w:r>
      <w:bookmarkEnd w:id="95"/>
      <w:r w:rsidR="008E3E62" w:rsidRPr="004D3C59">
        <w:rPr>
          <w:rFonts w:ascii="Garamond" w:hAnsi="Garamond"/>
          <w:b/>
          <w:sz w:val="24"/>
          <w:szCs w:val="24"/>
        </w:rPr>
        <w:t xml:space="preserve"> </w:t>
      </w:r>
    </w:p>
    <w:p w:rsidR="00FD100D" w:rsidRDefault="00FD100D" w:rsidP="003C0725">
      <w:pPr>
        <w:autoSpaceDE w:val="0"/>
        <w:autoSpaceDN w:val="0"/>
        <w:adjustRightInd w:val="0"/>
        <w:spacing w:after="0" w:line="240" w:lineRule="auto"/>
        <w:jc w:val="both"/>
        <w:rPr>
          <w:rFonts w:ascii="Garamond" w:hAnsi="Garamond"/>
          <w:sz w:val="24"/>
          <w:szCs w:val="24"/>
        </w:rPr>
      </w:pPr>
    </w:p>
    <w:p w:rsidR="00DA5E38" w:rsidRDefault="00A126F9" w:rsidP="00A126F9">
      <w:pPr>
        <w:autoSpaceDE w:val="0"/>
        <w:autoSpaceDN w:val="0"/>
        <w:adjustRightInd w:val="0"/>
        <w:spacing w:after="0" w:line="240" w:lineRule="auto"/>
        <w:jc w:val="both"/>
        <w:rPr>
          <w:rFonts w:ascii="Garamond" w:hAnsi="Garamond" w:cs="Times"/>
          <w:sz w:val="24"/>
          <w:szCs w:val="24"/>
        </w:rPr>
      </w:pPr>
      <w:r>
        <w:rPr>
          <w:rFonts w:ascii="Garamond" w:hAnsi="Garamond"/>
          <w:sz w:val="24"/>
          <w:szCs w:val="24"/>
        </w:rPr>
        <w:t>The DFA indicates that m</w:t>
      </w:r>
      <w:r w:rsidR="005B23DD" w:rsidRPr="004E0898">
        <w:rPr>
          <w:rFonts w:ascii="Garamond" w:hAnsi="Garamond"/>
          <w:sz w:val="24"/>
          <w:szCs w:val="24"/>
        </w:rPr>
        <w:t xml:space="preserve">obilisation of the wider variety of resources </w:t>
      </w:r>
      <w:r w:rsidR="005B23DD">
        <w:rPr>
          <w:rFonts w:ascii="Garamond" w:hAnsi="Garamond"/>
          <w:sz w:val="24"/>
          <w:szCs w:val="24"/>
        </w:rPr>
        <w:t xml:space="preserve">are </w:t>
      </w:r>
      <w:r w:rsidR="005B23DD" w:rsidRPr="004E0898">
        <w:rPr>
          <w:rFonts w:ascii="Garamond" w:hAnsi="Garamond"/>
          <w:sz w:val="24"/>
          <w:szCs w:val="24"/>
        </w:rPr>
        <w:t>nee</w:t>
      </w:r>
      <w:r w:rsidR="005B23DD">
        <w:rPr>
          <w:rFonts w:ascii="Garamond" w:hAnsi="Garamond"/>
          <w:sz w:val="24"/>
          <w:szCs w:val="24"/>
        </w:rPr>
        <w:t>ded to achieve the objectives of GTP-II and SDGs</w:t>
      </w:r>
      <w:r w:rsidR="005B23DD" w:rsidRPr="004E0898">
        <w:rPr>
          <w:rFonts w:ascii="Garamond" w:hAnsi="Garamond"/>
          <w:sz w:val="24"/>
          <w:szCs w:val="24"/>
        </w:rPr>
        <w:t>. The development finance assessment (DFA)</w:t>
      </w:r>
      <w:r w:rsidR="005B23DD">
        <w:rPr>
          <w:rFonts w:ascii="Garamond" w:hAnsi="Garamond"/>
          <w:sz w:val="24"/>
          <w:szCs w:val="24"/>
        </w:rPr>
        <w:t xml:space="preserve"> also</w:t>
      </w:r>
      <w:r w:rsidR="005B23DD" w:rsidRPr="004E0898">
        <w:rPr>
          <w:rFonts w:ascii="Garamond" w:hAnsi="Garamond"/>
          <w:sz w:val="24"/>
          <w:szCs w:val="24"/>
        </w:rPr>
        <w:t xml:space="preserve"> identifies a range of financial flows including ODA, FDI, PPPs, SSC, climate change finance and remittances that could be instrumental to achieve development objectives of Ethiopia. </w:t>
      </w:r>
      <w:r w:rsidR="00B2614C">
        <w:rPr>
          <w:rFonts w:ascii="Garamond" w:hAnsi="Garamond" w:cs="Times"/>
          <w:sz w:val="24"/>
          <w:szCs w:val="24"/>
        </w:rPr>
        <w:t xml:space="preserve">Based on </w:t>
      </w:r>
      <w:r w:rsidR="007C1BB9">
        <w:rPr>
          <w:rFonts w:ascii="Garamond" w:hAnsi="Garamond" w:cs="Times"/>
          <w:sz w:val="24"/>
          <w:szCs w:val="24"/>
        </w:rPr>
        <w:t xml:space="preserve">thorough analysis of the different dimensions of the </w:t>
      </w:r>
      <w:r w:rsidR="00B2614C">
        <w:rPr>
          <w:rFonts w:ascii="Garamond" w:hAnsi="Garamond" w:cs="Times"/>
          <w:sz w:val="24"/>
          <w:szCs w:val="24"/>
        </w:rPr>
        <w:t>Addis Ababa Action Agenda</w:t>
      </w:r>
      <w:r w:rsidR="001E7108">
        <w:rPr>
          <w:rFonts w:ascii="Garamond" w:hAnsi="Garamond" w:cs="Times"/>
          <w:sz w:val="24"/>
          <w:szCs w:val="24"/>
        </w:rPr>
        <w:t xml:space="preserve">, </w:t>
      </w:r>
      <w:r w:rsidR="007C1BB9">
        <w:rPr>
          <w:rFonts w:ascii="Garamond" w:hAnsi="Garamond" w:cs="Times"/>
          <w:sz w:val="24"/>
          <w:szCs w:val="24"/>
        </w:rPr>
        <w:t>the national context,</w:t>
      </w:r>
      <w:r w:rsidR="001E7108">
        <w:rPr>
          <w:rFonts w:ascii="Garamond" w:hAnsi="Garamond" w:cs="Times"/>
          <w:sz w:val="24"/>
          <w:szCs w:val="24"/>
        </w:rPr>
        <w:t xml:space="preserve"> and findings from the DFA, </w:t>
      </w:r>
      <w:r w:rsidR="00DF3158">
        <w:rPr>
          <w:rFonts w:ascii="Garamond" w:hAnsi="Garamond" w:cs="Times"/>
          <w:sz w:val="24"/>
          <w:szCs w:val="24"/>
        </w:rPr>
        <w:t>key priority areas ha</w:t>
      </w:r>
      <w:r w:rsidR="009C0357">
        <w:rPr>
          <w:rFonts w:ascii="Garamond" w:hAnsi="Garamond" w:cs="Times"/>
          <w:sz w:val="24"/>
          <w:szCs w:val="24"/>
        </w:rPr>
        <w:t>ve</w:t>
      </w:r>
      <w:r w:rsidR="00DF3158">
        <w:rPr>
          <w:rFonts w:ascii="Garamond" w:hAnsi="Garamond" w:cs="Times"/>
          <w:sz w:val="24"/>
          <w:szCs w:val="24"/>
        </w:rPr>
        <w:t xml:space="preserve"> been identified which are grouped into two categories: </w:t>
      </w:r>
      <w:r w:rsidR="00F230EE">
        <w:rPr>
          <w:rFonts w:ascii="Garamond" w:hAnsi="Garamond" w:cs="Times"/>
          <w:sz w:val="24"/>
          <w:szCs w:val="24"/>
        </w:rPr>
        <w:t>C</w:t>
      </w:r>
      <w:r w:rsidR="00DF3158">
        <w:rPr>
          <w:rFonts w:ascii="Garamond" w:hAnsi="Garamond" w:cs="Times"/>
          <w:sz w:val="24"/>
          <w:szCs w:val="24"/>
        </w:rPr>
        <w:t>ore and cross-cutting issues</w:t>
      </w:r>
      <w:r w:rsidR="008E3E62">
        <w:rPr>
          <w:rFonts w:ascii="Garamond" w:hAnsi="Garamond" w:cs="Times"/>
          <w:sz w:val="24"/>
          <w:szCs w:val="24"/>
        </w:rPr>
        <w:t>, with each priority area has specific dimensions</w:t>
      </w:r>
      <w:r w:rsidR="00DF3158">
        <w:rPr>
          <w:rFonts w:ascii="Garamond" w:hAnsi="Garamond" w:cs="Times"/>
          <w:sz w:val="24"/>
          <w:szCs w:val="24"/>
        </w:rPr>
        <w:t xml:space="preserve">. These priority areas are building blocks of </w:t>
      </w:r>
      <w:r w:rsidR="00DC23FC">
        <w:rPr>
          <w:rFonts w:ascii="Garamond" w:hAnsi="Garamond" w:cs="Times"/>
          <w:sz w:val="24"/>
          <w:szCs w:val="24"/>
        </w:rPr>
        <w:t xml:space="preserve">implementing the AAAA </w:t>
      </w:r>
      <w:r w:rsidR="003F6F7C">
        <w:rPr>
          <w:rFonts w:ascii="Garamond" w:hAnsi="Garamond" w:cs="Times"/>
          <w:sz w:val="24"/>
          <w:szCs w:val="24"/>
        </w:rPr>
        <w:t xml:space="preserve">roadmap </w:t>
      </w:r>
      <w:r w:rsidR="00DC23FC">
        <w:rPr>
          <w:rFonts w:ascii="Garamond" w:hAnsi="Garamond" w:cs="Times"/>
          <w:sz w:val="24"/>
          <w:szCs w:val="24"/>
        </w:rPr>
        <w:t xml:space="preserve">to achieve </w:t>
      </w:r>
      <w:r w:rsidR="00ED1127">
        <w:rPr>
          <w:rFonts w:ascii="Garamond" w:hAnsi="Garamond" w:cs="Times"/>
          <w:sz w:val="24"/>
          <w:szCs w:val="24"/>
        </w:rPr>
        <w:t xml:space="preserve">GTP-II and </w:t>
      </w:r>
      <w:r w:rsidR="00DF3158">
        <w:rPr>
          <w:rFonts w:ascii="Garamond" w:hAnsi="Garamond" w:cs="Times"/>
          <w:sz w:val="24"/>
          <w:szCs w:val="24"/>
        </w:rPr>
        <w:t>SDGs</w:t>
      </w:r>
      <w:r w:rsidR="00F92963">
        <w:rPr>
          <w:rFonts w:ascii="Garamond" w:hAnsi="Garamond" w:cs="Times"/>
          <w:sz w:val="24"/>
          <w:szCs w:val="24"/>
        </w:rPr>
        <w:t xml:space="preserve"> objectives</w:t>
      </w:r>
      <w:r w:rsidR="00B2614C">
        <w:rPr>
          <w:rFonts w:ascii="Garamond" w:hAnsi="Garamond" w:cs="Times"/>
          <w:sz w:val="24"/>
          <w:szCs w:val="24"/>
        </w:rPr>
        <w:t xml:space="preserve">. </w:t>
      </w:r>
      <w:r w:rsidR="00C20267">
        <w:rPr>
          <w:rFonts w:ascii="Garamond" w:hAnsi="Garamond" w:cs="Times"/>
          <w:sz w:val="24"/>
          <w:szCs w:val="24"/>
        </w:rPr>
        <w:t xml:space="preserve">The core priority areas are anchored in five dimensions, while the cross-cutting issues are built </w:t>
      </w:r>
      <w:r w:rsidR="00E572E9">
        <w:rPr>
          <w:rFonts w:ascii="Garamond" w:hAnsi="Garamond" w:cs="Times"/>
          <w:sz w:val="24"/>
          <w:szCs w:val="24"/>
        </w:rPr>
        <w:t>around</w:t>
      </w:r>
      <w:r w:rsidR="00075053">
        <w:rPr>
          <w:rFonts w:ascii="Garamond" w:hAnsi="Garamond" w:cs="Times"/>
          <w:sz w:val="24"/>
          <w:szCs w:val="24"/>
        </w:rPr>
        <w:t xml:space="preserve"> three </w:t>
      </w:r>
      <w:r w:rsidR="00C20267">
        <w:rPr>
          <w:rFonts w:ascii="Garamond" w:hAnsi="Garamond" w:cs="Times"/>
          <w:sz w:val="24"/>
          <w:szCs w:val="24"/>
        </w:rPr>
        <w:t xml:space="preserve">dimensions. </w:t>
      </w:r>
      <w:r w:rsidR="003F6F7C" w:rsidRPr="003F6F7C">
        <w:rPr>
          <w:rFonts w:ascii="Garamond" w:hAnsi="Garamond" w:cs="Times"/>
          <w:sz w:val="24"/>
          <w:szCs w:val="24"/>
        </w:rPr>
        <w:t xml:space="preserve">The </w:t>
      </w:r>
      <w:r w:rsidR="00000049">
        <w:rPr>
          <w:rFonts w:ascii="Garamond" w:hAnsi="Garamond" w:cs="Times"/>
          <w:sz w:val="24"/>
          <w:szCs w:val="24"/>
        </w:rPr>
        <w:t xml:space="preserve">details of the </w:t>
      </w:r>
      <w:r w:rsidR="003F6F7C" w:rsidRPr="003F6F7C">
        <w:rPr>
          <w:rFonts w:ascii="Garamond" w:hAnsi="Garamond" w:cs="Times"/>
          <w:sz w:val="24"/>
          <w:szCs w:val="24"/>
        </w:rPr>
        <w:t xml:space="preserve">individual </w:t>
      </w:r>
      <w:r w:rsidR="00C20267">
        <w:rPr>
          <w:rFonts w:ascii="Garamond" w:hAnsi="Garamond" w:cs="Times"/>
          <w:sz w:val="24"/>
          <w:szCs w:val="24"/>
        </w:rPr>
        <w:t xml:space="preserve">dimensions </w:t>
      </w:r>
      <w:r w:rsidR="003F6F7C">
        <w:rPr>
          <w:rFonts w:ascii="Garamond" w:hAnsi="Garamond" w:cs="Times"/>
          <w:sz w:val="24"/>
          <w:szCs w:val="24"/>
        </w:rPr>
        <w:t xml:space="preserve">that </w:t>
      </w:r>
      <w:r w:rsidR="003F6F7C" w:rsidRPr="003F6F7C">
        <w:rPr>
          <w:rFonts w:ascii="Garamond" w:hAnsi="Garamond" w:cs="Times"/>
          <w:sz w:val="24"/>
          <w:szCs w:val="24"/>
        </w:rPr>
        <w:t xml:space="preserve">make up this roadmap are </w:t>
      </w:r>
      <w:r w:rsidR="00000049">
        <w:rPr>
          <w:rFonts w:ascii="Garamond" w:hAnsi="Garamond" w:cs="Times"/>
          <w:sz w:val="24"/>
          <w:szCs w:val="24"/>
        </w:rPr>
        <w:t xml:space="preserve">presented subsequently. </w:t>
      </w:r>
    </w:p>
    <w:p w:rsidR="00960939" w:rsidRDefault="00960939" w:rsidP="00960939">
      <w:pPr>
        <w:autoSpaceDE w:val="0"/>
        <w:autoSpaceDN w:val="0"/>
        <w:adjustRightInd w:val="0"/>
        <w:spacing w:after="0" w:line="240" w:lineRule="auto"/>
        <w:jc w:val="both"/>
        <w:rPr>
          <w:rFonts w:ascii="Garamond" w:hAnsi="Garamond" w:cs="Times"/>
          <w:sz w:val="24"/>
          <w:szCs w:val="24"/>
        </w:rPr>
      </w:pPr>
      <w:r w:rsidRPr="00960939">
        <w:rPr>
          <w:rFonts w:ascii="Garamond" w:hAnsi="Garamond" w:cs="Times"/>
          <w:sz w:val="24"/>
          <w:szCs w:val="24"/>
        </w:rPr>
        <w:t xml:space="preserve">This </w:t>
      </w:r>
      <w:r w:rsidR="002626E4">
        <w:rPr>
          <w:rFonts w:ascii="Garamond" w:hAnsi="Garamond" w:cs="Times"/>
          <w:sz w:val="24"/>
          <w:szCs w:val="24"/>
        </w:rPr>
        <w:t xml:space="preserve">roadmap shall </w:t>
      </w:r>
      <w:r w:rsidRPr="00960939">
        <w:rPr>
          <w:rFonts w:ascii="Garamond" w:hAnsi="Garamond" w:cs="Times"/>
          <w:sz w:val="24"/>
          <w:szCs w:val="24"/>
        </w:rPr>
        <w:t xml:space="preserve">aim to achieve the </w:t>
      </w:r>
      <w:r w:rsidR="0094169C">
        <w:rPr>
          <w:rFonts w:ascii="Garamond" w:hAnsi="Garamond" w:cs="Times"/>
          <w:sz w:val="24"/>
          <w:szCs w:val="24"/>
        </w:rPr>
        <w:t xml:space="preserve">following </w:t>
      </w:r>
      <w:r w:rsidRPr="00960939">
        <w:rPr>
          <w:rFonts w:ascii="Garamond" w:hAnsi="Garamond" w:cs="Times"/>
          <w:sz w:val="24"/>
          <w:szCs w:val="24"/>
        </w:rPr>
        <w:t>objective</w:t>
      </w:r>
      <w:r w:rsidR="00BC7C1C">
        <w:rPr>
          <w:rFonts w:ascii="Garamond" w:hAnsi="Garamond" w:cs="Times"/>
          <w:sz w:val="24"/>
          <w:szCs w:val="24"/>
        </w:rPr>
        <w:t>s</w:t>
      </w:r>
      <w:r w:rsidR="00E13B29">
        <w:rPr>
          <w:rFonts w:ascii="Garamond" w:hAnsi="Garamond" w:cs="Times"/>
          <w:sz w:val="24"/>
          <w:szCs w:val="24"/>
        </w:rPr>
        <w:t xml:space="preserve">: </w:t>
      </w:r>
      <w:r w:rsidR="004066E0">
        <w:rPr>
          <w:rFonts w:ascii="Garamond" w:hAnsi="Garamond" w:cs="Times"/>
          <w:sz w:val="24"/>
          <w:szCs w:val="24"/>
        </w:rPr>
        <w:t>(i</w:t>
      </w:r>
      <w:r w:rsidRPr="00960939">
        <w:rPr>
          <w:rFonts w:ascii="Garamond" w:hAnsi="Garamond" w:cs="Times"/>
          <w:sz w:val="24"/>
          <w:szCs w:val="24"/>
        </w:rPr>
        <w:t xml:space="preserve">) </w:t>
      </w:r>
      <w:r w:rsidR="006E693A">
        <w:rPr>
          <w:rFonts w:ascii="Garamond" w:hAnsi="Garamond" w:cs="Times"/>
          <w:sz w:val="24"/>
          <w:szCs w:val="24"/>
        </w:rPr>
        <w:t xml:space="preserve">expanding </w:t>
      </w:r>
      <w:r w:rsidRPr="00960939">
        <w:rPr>
          <w:rFonts w:ascii="Garamond" w:hAnsi="Garamond" w:cs="Times"/>
          <w:sz w:val="24"/>
          <w:szCs w:val="24"/>
        </w:rPr>
        <w:t>domestic resource mobilization; and (ii)</w:t>
      </w:r>
      <w:r w:rsidR="006A3DE9">
        <w:rPr>
          <w:rFonts w:ascii="Garamond" w:hAnsi="Garamond" w:cs="Times"/>
          <w:sz w:val="24"/>
          <w:szCs w:val="24"/>
        </w:rPr>
        <w:t xml:space="preserve">, </w:t>
      </w:r>
      <w:r w:rsidR="006D4510">
        <w:rPr>
          <w:rFonts w:ascii="Garamond" w:hAnsi="Garamond" w:cs="Times"/>
          <w:sz w:val="24"/>
          <w:szCs w:val="24"/>
        </w:rPr>
        <w:t>diversifying external resources</w:t>
      </w:r>
      <w:r w:rsidR="004066E0">
        <w:rPr>
          <w:rFonts w:ascii="Garamond" w:hAnsi="Garamond" w:cs="Times"/>
          <w:sz w:val="24"/>
          <w:szCs w:val="24"/>
        </w:rPr>
        <w:t xml:space="preserve">, </w:t>
      </w:r>
      <w:r w:rsidR="00E13B29">
        <w:rPr>
          <w:rFonts w:ascii="Garamond" w:hAnsi="Garamond" w:cs="Times"/>
          <w:sz w:val="24"/>
          <w:szCs w:val="24"/>
        </w:rPr>
        <w:t>(iii</w:t>
      </w:r>
      <w:r w:rsidR="006A3DE9">
        <w:rPr>
          <w:rFonts w:ascii="Garamond" w:hAnsi="Garamond" w:cs="Times"/>
          <w:sz w:val="24"/>
          <w:szCs w:val="24"/>
        </w:rPr>
        <w:t>)</w:t>
      </w:r>
      <w:r w:rsidR="006D4510">
        <w:rPr>
          <w:rFonts w:ascii="Garamond" w:hAnsi="Garamond" w:cs="Times"/>
          <w:sz w:val="24"/>
          <w:szCs w:val="24"/>
        </w:rPr>
        <w:t xml:space="preserve"> </w:t>
      </w:r>
      <w:r w:rsidR="00343329">
        <w:rPr>
          <w:rFonts w:ascii="Garamond" w:hAnsi="Garamond" w:cs="Times"/>
          <w:sz w:val="24"/>
          <w:szCs w:val="24"/>
        </w:rPr>
        <w:t>capturing</w:t>
      </w:r>
      <w:r w:rsidR="00A50DB1">
        <w:rPr>
          <w:rFonts w:ascii="Garamond" w:hAnsi="Garamond" w:cs="Times"/>
          <w:sz w:val="24"/>
          <w:szCs w:val="24"/>
        </w:rPr>
        <w:t xml:space="preserve"> and</w:t>
      </w:r>
      <w:r w:rsidR="00343329">
        <w:rPr>
          <w:rFonts w:ascii="Garamond" w:hAnsi="Garamond" w:cs="Times"/>
          <w:sz w:val="24"/>
          <w:szCs w:val="24"/>
        </w:rPr>
        <w:t xml:space="preserve"> </w:t>
      </w:r>
      <w:r w:rsidR="006D4510" w:rsidRPr="00960939">
        <w:rPr>
          <w:rFonts w:ascii="Garamond" w:hAnsi="Garamond" w:cs="Times"/>
          <w:sz w:val="24"/>
          <w:szCs w:val="24"/>
        </w:rPr>
        <w:t>scaling up private sector investment</w:t>
      </w:r>
      <w:r w:rsidR="00A50DB1">
        <w:rPr>
          <w:rFonts w:ascii="Garamond" w:hAnsi="Garamond" w:cs="Times"/>
          <w:sz w:val="24"/>
          <w:szCs w:val="24"/>
        </w:rPr>
        <w:t xml:space="preserve">; </w:t>
      </w:r>
      <w:r w:rsidR="00A50DB1" w:rsidRPr="00960939">
        <w:rPr>
          <w:rFonts w:ascii="Garamond" w:hAnsi="Garamond" w:cs="Times"/>
          <w:sz w:val="24"/>
          <w:szCs w:val="24"/>
        </w:rPr>
        <w:t>(i</w:t>
      </w:r>
      <w:r w:rsidR="00A50DB1">
        <w:rPr>
          <w:rFonts w:ascii="Garamond" w:hAnsi="Garamond" w:cs="Times"/>
          <w:sz w:val="24"/>
          <w:szCs w:val="24"/>
        </w:rPr>
        <w:t>v</w:t>
      </w:r>
      <w:r w:rsidR="00A50DB1" w:rsidRPr="00960939">
        <w:rPr>
          <w:rFonts w:ascii="Garamond" w:hAnsi="Garamond" w:cs="Times"/>
          <w:sz w:val="24"/>
          <w:szCs w:val="24"/>
        </w:rPr>
        <w:t>)</w:t>
      </w:r>
      <w:r w:rsidR="00180528">
        <w:rPr>
          <w:rFonts w:ascii="Garamond" w:hAnsi="Garamond" w:cs="Times"/>
          <w:sz w:val="24"/>
          <w:szCs w:val="24"/>
        </w:rPr>
        <w:t xml:space="preserve"> </w:t>
      </w:r>
      <w:r w:rsidR="00A50DB1" w:rsidRPr="00960939">
        <w:rPr>
          <w:rFonts w:ascii="Garamond" w:hAnsi="Garamond" w:cs="Times"/>
          <w:sz w:val="24"/>
          <w:szCs w:val="24"/>
        </w:rPr>
        <w:t>strengthening</w:t>
      </w:r>
      <w:r w:rsidR="00A50DB1">
        <w:rPr>
          <w:rFonts w:ascii="Garamond" w:hAnsi="Garamond" w:cs="Times"/>
          <w:sz w:val="24"/>
          <w:szCs w:val="24"/>
        </w:rPr>
        <w:t xml:space="preserve"> </w:t>
      </w:r>
      <w:r w:rsidR="00007431">
        <w:rPr>
          <w:rFonts w:ascii="Garamond" w:hAnsi="Garamond" w:cs="Times"/>
          <w:sz w:val="24"/>
          <w:szCs w:val="24"/>
        </w:rPr>
        <w:t xml:space="preserve">coordination and improving </w:t>
      </w:r>
      <w:r w:rsidR="00A50DB1">
        <w:rPr>
          <w:rFonts w:ascii="Garamond" w:hAnsi="Garamond" w:cs="Times"/>
          <w:sz w:val="24"/>
          <w:szCs w:val="24"/>
        </w:rPr>
        <w:t xml:space="preserve">the </w:t>
      </w:r>
      <w:r w:rsidR="00A50DB1" w:rsidRPr="00960939">
        <w:rPr>
          <w:rFonts w:ascii="Garamond" w:hAnsi="Garamond" w:cs="Times"/>
          <w:sz w:val="24"/>
          <w:szCs w:val="24"/>
        </w:rPr>
        <w:t xml:space="preserve">quality of </w:t>
      </w:r>
      <w:r w:rsidR="00007431">
        <w:rPr>
          <w:rFonts w:ascii="Garamond" w:hAnsi="Garamond" w:cs="Times"/>
          <w:sz w:val="24"/>
          <w:szCs w:val="24"/>
        </w:rPr>
        <w:t>finance</w:t>
      </w:r>
      <w:r w:rsidR="00A50DB1" w:rsidRPr="00960939">
        <w:rPr>
          <w:rFonts w:ascii="Garamond" w:hAnsi="Garamond" w:cs="Times"/>
          <w:sz w:val="24"/>
          <w:szCs w:val="24"/>
        </w:rPr>
        <w:t xml:space="preserve">, including the efficiency and effectiveness of expenditures and their alignment </w:t>
      </w:r>
      <w:r w:rsidR="00A50DB1">
        <w:rPr>
          <w:rFonts w:ascii="Garamond" w:hAnsi="Garamond" w:cs="Times"/>
          <w:sz w:val="24"/>
          <w:szCs w:val="24"/>
        </w:rPr>
        <w:t>with national priorities</w:t>
      </w:r>
      <w:r w:rsidR="00007431">
        <w:rPr>
          <w:rFonts w:ascii="Garamond" w:hAnsi="Garamond" w:cs="Times"/>
          <w:sz w:val="24"/>
          <w:szCs w:val="24"/>
        </w:rPr>
        <w:t xml:space="preserve">. </w:t>
      </w:r>
    </w:p>
    <w:p w:rsidR="007F040C" w:rsidRDefault="000F6139" w:rsidP="006C24A4">
      <w:pPr>
        <w:pStyle w:val="Caption"/>
        <w:rPr>
          <w:rFonts w:ascii="Garamond" w:hAnsi="Garamond"/>
          <w:sz w:val="24"/>
          <w:szCs w:val="24"/>
        </w:rPr>
      </w:pPr>
      <w:r w:rsidRPr="00861F29">
        <w:rPr>
          <w:rFonts w:ascii="Garamond" w:hAnsi="Garamond" w:cs="Times"/>
          <w:sz w:val="24"/>
          <w:szCs w:val="24"/>
        </w:rPr>
        <w:t xml:space="preserve">      </w:t>
      </w:r>
      <w:bookmarkStart w:id="96" w:name="_Toc486585969"/>
      <w:r w:rsidR="005E2F13" w:rsidRPr="00861F29">
        <w:rPr>
          <w:rFonts w:ascii="Garamond" w:hAnsi="Garamond" w:cs="Times"/>
          <w:sz w:val="24"/>
          <w:szCs w:val="24"/>
        </w:rPr>
        <w:t>Figure</w:t>
      </w:r>
      <w:r w:rsidR="005E2F13" w:rsidRPr="00861F29">
        <w:rPr>
          <w:rFonts w:ascii="Garamond" w:hAnsi="Garamond"/>
          <w:sz w:val="24"/>
          <w:szCs w:val="24"/>
        </w:rPr>
        <w:t xml:space="preserve"> </w:t>
      </w:r>
      <w:r w:rsidR="00BF3BBC" w:rsidRPr="00861F29">
        <w:rPr>
          <w:rFonts w:ascii="Garamond" w:hAnsi="Garamond"/>
          <w:sz w:val="24"/>
          <w:szCs w:val="24"/>
        </w:rPr>
        <w:fldChar w:fldCharType="begin"/>
      </w:r>
      <w:r w:rsidR="005E2F13" w:rsidRPr="00861F29">
        <w:rPr>
          <w:rFonts w:ascii="Garamond" w:hAnsi="Garamond"/>
          <w:sz w:val="24"/>
          <w:szCs w:val="24"/>
        </w:rPr>
        <w:instrText xml:space="preserve"> SEQ Figure \* ARABIC </w:instrText>
      </w:r>
      <w:r w:rsidR="00BF3BBC" w:rsidRPr="00861F29">
        <w:rPr>
          <w:rFonts w:ascii="Garamond" w:hAnsi="Garamond"/>
          <w:sz w:val="24"/>
          <w:szCs w:val="24"/>
        </w:rPr>
        <w:fldChar w:fldCharType="separate"/>
      </w:r>
      <w:r w:rsidR="006C24A4" w:rsidRPr="00861F29">
        <w:rPr>
          <w:rFonts w:ascii="Garamond" w:hAnsi="Garamond"/>
          <w:noProof/>
          <w:sz w:val="24"/>
          <w:szCs w:val="24"/>
        </w:rPr>
        <w:t>34</w:t>
      </w:r>
      <w:r w:rsidR="00BF3BBC" w:rsidRPr="00861F29">
        <w:rPr>
          <w:rFonts w:ascii="Garamond" w:hAnsi="Garamond"/>
          <w:sz w:val="24"/>
          <w:szCs w:val="24"/>
        </w:rPr>
        <w:fldChar w:fldCharType="end"/>
      </w:r>
      <w:r w:rsidR="005E2F13" w:rsidRPr="00861F29">
        <w:rPr>
          <w:rFonts w:ascii="Garamond" w:hAnsi="Garamond"/>
          <w:sz w:val="24"/>
          <w:szCs w:val="24"/>
        </w:rPr>
        <w:t xml:space="preserve">: </w:t>
      </w:r>
      <w:r w:rsidR="00BC0456" w:rsidRPr="00861F29">
        <w:rPr>
          <w:rFonts w:ascii="Garamond" w:hAnsi="Garamond"/>
          <w:sz w:val="24"/>
          <w:szCs w:val="24"/>
        </w:rPr>
        <w:t>D</w:t>
      </w:r>
      <w:r w:rsidR="005E2F13" w:rsidRPr="00861F29">
        <w:rPr>
          <w:rFonts w:ascii="Garamond" w:hAnsi="Garamond"/>
          <w:sz w:val="24"/>
          <w:szCs w:val="24"/>
        </w:rPr>
        <w:t xml:space="preserve">imensions of </w:t>
      </w:r>
      <w:r w:rsidR="00BC0456" w:rsidRPr="00861F29">
        <w:rPr>
          <w:rFonts w:ascii="Garamond" w:hAnsi="Garamond"/>
          <w:sz w:val="24"/>
          <w:szCs w:val="24"/>
        </w:rPr>
        <w:t>the roadmap</w:t>
      </w:r>
      <w:bookmarkEnd w:id="96"/>
      <w:r w:rsidR="00BC0456" w:rsidRPr="00861F29">
        <w:rPr>
          <w:rFonts w:ascii="Garamond" w:hAnsi="Garamond"/>
          <w:sz w:val="24"/>
          <w:szCs w:val="24"/>
        </w:rPr>
        <w:t xml:space="preserve"> </w:t>
      </w:r>
    </w:p>
    <w:p w:rsidR="000051C9" w:rsidRPr="000051C9" w:rsidRDefault="000051C9" w:rsidP="000051C9">
      <w:pPr>
        <w:rPr>
          <w:lang w:val="en-GB" w:eastAsia="en-GB"/>
        </w:rPr>
      </w:pPr>
      <w:r w:rsidRPr="0022259A">
        <w:rPr>
          <w:rFonts w:ascii="Garamond" w:hAnsi="Garamond" w:cs="Times"/>
          <w:b/>
          <w:noProof/>
        </w:rPr>
        <w:drawing>
          <wp:inline distT="0" distB="0" distL="0" distR="0">
            <wp:extent cx="5943600" cy="33426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43600" cy="3342640"/>
                    </a:xfrm>
                    <a:prstGeom prst="rect">
                      <a:avLst/>
                    </a:prstGeom>
                  </pic:spPr>
                </pic:pic>
              </a:graphicData>
            </a:graphic>
          </wp:inline>
        </w:drawing>
      </w:r>
    </w:p>
    <w:p w:rsidR="00271089" w:rsidRPr="00DA5E38" w:rsidRDefault="00271089" w:rsidP="00271089">
      <w:pPr>
        <w:shd w:val="clear" w:color="auto" w:fill="FFFFFF"/>
        <w:spacing w:after="0" w:line="240" w:lineRule="auto"/>
        <w:ind w:left="360"/>
        <w:jc w:val="both"/>
        <w:rPr>
          <w:rFonts w:ascii="Garamond" w:hAnsi="Garamond" w:cs="Times"/>
        </w:rPr>
      </w:pPr>
      <w:r w:rsidRPr="00DA5E38">
        <w:rPr>
          <w:rFonts w:ascii="Garamond" w:hAnsi="Garamond" w:cs="Times"/>
        </w:rPr>
        <w:t xml:space="preserve">Source: Own construction </w:t>
      </w:r>
    </w:p>
    <w:p w:rsidR="006F520A" w:rsidRDefault="006F520A" w:rsidP="00D80533">
      <w:pPr>
        <w:shd w:val="clear" w:color="auto" w:fill="FFFFFF"/>
        <w:spacing w:after="0" w:line="240" w:lineRule="auto"/>
        <w:ind w:left="360"/>
        <w:jc w:val="both"/>
        <w:rPr>
          <w:rFonts w:ascii="Garamond" w:hAnsi="Garamond" w:cs="Times"/>
          <w:sz w:val="24"/>
          <w:szCs w:val="24"/>
        </w:rPr>
      </w:pPr>
    </w:p>
    <w:p w:rsidR="004137EE" w:rsidRPr="00752AD4" w:rsidRDefault="004137EE" w:rsidP="00F230EE">
      <w:pPr>
        <w:pStyle w:val="Heading3"/>
        <w:ind w:left="360"/>
        <w:rPr>
          <w:rFonts w:ascii="Garamond" w:hAnsi="Garamond"/>
          <w:b/>
        </w:rPr>
      </w:pPr>
      <w:bookmarkStart w:id="97" w:name="_Toc486782285"/>
      <w:r w:rsidRPr="00752AD4">
        <w:rPr>
          <w:rFonts w:ascii="Garamond" w:hAnsi="Garamond"/>
          <w:b/>
        </w:rPr>
        <w:t>7.</w:t>
      </w:r>
      <w:r w:rsidR="00502E7B">
        <w:rPr>
          <w:rFonts w:ascii="Garamond" w:hAnsi="Garamond"/>
          <w:b/>
        </w:rPr>
        <w:t>2</w:t>
      </w:r>
      <w:r w:rsidR="004D3C59">
        <w:rPr>
          <w:rFonts w:ascii="Garamond" w:hAnsi="Garamond"/>
          <w:b/>
        </w:rPr>
        <w:t>.1</w:t>
      </w:r>
      <w:r w:rsidRPr="00752AD4">
        <w:rPr>
          <w:rFonts w:ascii="Garamond" w:hAnsi="Garamond"/>
          <w:b/>
        </w:rPr>
        <w:t xml:space="preserve"> Core priority areas</w:t>
      </w:r>
      <w:bookmarkEnd w:id="97"/>
    </w:p>
    <w:p w:rsidR="00F230EE" w:rsidRDefault="00F230EE" w:rsidP="00F230EE">
      <w:pPr>
        <w:shd w:val="clear" w:color="auto" w:fill="FFFFFF"/>
        <w:spacing w:after="0" w:line="240" w:lineRule="auto"/>
        <w:ind w:left="360"/>
        <w:jc w:val="both"/>
        <w:rPr>
          <w:rFonts w:ascii="Garamond" w:hAnsi="Garamond" w:cs="Times"/>
          <w:sz w:val="24"/>
          <w:szCs w:val="24"/>
        </w:rPr>
      </w:pPr>
    </w:p>
    <w:p w:rsidR="00F230EE" w:rsidRDefault="004137EE" w:rsidP="00F230EE">
      <w:pPr>
        <w:shd w:val="clear" w:color="auto" w:fill="FFFFFF"/>
        <w:spacing w:after="0" w:line="240" w:lineRule="auto"/>
        <w:ind w:left="360" w:hanging="360"/>
        <w:jc w:val="both"/>
        <w:rPr>
          <w:rFonts w:ascii="Garamond" w:hAnsi="Garamond" w:cs="Times"/>
          <w:sz w:val="24"/>
          <w:szCs w:val="24"/>
        </w:rPr>
      </w:pPr>
      <w:r>
        <w:rPr>
          <w:rFonts w:ascii="Garamond" w:hAnsi="Garamond"/>
          <w:sz w:val="24"/>
          <w:szCs w:val="24"/>
        </w:rPr>
        <w:lastRenderedPageBreak/>
        <w:t xml:space="preserve">      Considering the magnitude of the financing needs for meeting sustainable development targets, further sources of finance are required to maintain the growth momentum and continue pursuing public investment programmes. In particular, the</w:t>
      </w:r>
      <w:r>
        <w:rPr>
          <w:rFonts w:ascii="Garamond" w:hAnsi="Garamond" w:cs="Arial"/>
          <w:color w:val="333333"/>
          <w:sz w:val="24"/>
          <w:szCs w:val="24"/>
        </w:rPr>
        <w:t xml:space="preserve"> non-traditional financing sources, which if tapped, would augment the traditional financial resources of the country and thereby providing additional fiscal space for the government to finance its development programmes. Based on the national vision, development policies and priorities, regional and global perspectives, and stakeholder consultations, </w:t>
      </w:r>
      <w:r w:rsidR="00F230EE">
        <w:rPr>
          <w:rFonts w:ascii="Garamond" w:hAnsi="Garamond" w:cs="Arial"/>
          <w:color w:val="333333"/>
          <w:sz w:val="24"/>
          <w:szCs w:val="24"/>
        </w:rPr>
        <w:t xml:space="preserve">core </w:t>
      </w:r>
      <w:r>
        <w:rPr>
          <w:rFonts w:ascii="Garamond" w:hAnsi="Garamond" w:cs="Arial"/>
          <w:color w:val="333333"/>
          <w:sz w:val="24"/>
          <w:szCs w:val="24"/>
        </w:rPr>
        <w:t xml:space="preserve">priority intervention areas are identified. </w:t>
      </w:r>
      <w:r w:rsidR="00F230EE">
        <w:rPr>
          <w:rFonts w:ascii="Garamond" w:hAnsi="Garamond" w:cs="Times"/>
          <w:sz w:val="24"/>
          <w:szCs w:val="24"/>
        </w:rPr>
        <w:t xml:space="preserve">The core priority areas consists of four broad dimensions, namely domestic resources, grants and loans, international private finance, and climate finance.   </w:t>
      </w:r>
    </w:p>
    <w:p w:rsidR="00F230EE" w:rsidRDefault="00F230EE" w:rsidP="00F230EE">
      <w:pPr>
        <w:shd w:val="clear" w:color="auto" w:fill="FFFFFF"/>
        <w:spacing w:after="0" w:line="240" w:lineRule="auto"/>
        <w:ind w:left="360"/>
        <w:jc w:val="both"/>
        <w:rPr>
          <w:rFonts w:ascii="Garamond" w:hAnsi="Garamond" w:cs="Times"/>
          <w:sz w:val="24"/>
          <w:szCs w:val="24"/>
        </w:rPr>
      </w:pPr>
    </w:p>
    <w:p w:rsidR="00DC5682" w:rsidRPr="0006603C" w:rsidRDefault="004137EE" w:rsidP="0006603C">
      <w:pPr>
        <w:pStyle w:val="ListParagraph"/>
        <w:numPr>
          <w:ilvl w:val="0"/>
          <w:numId w:val="41"/>
        </w:numPr>
        <w:autoSpaceDE w:val="0"/>
        <w:autoSpaceDN w:val="0"/>
        <w:adjustRightInd w:val="0"/>
        <w:spacing w:after="0" w:line="240" w:lineRule="auto"/>
        <w:jc w:val="both"/>
        <w:rPr>
          <w:rFonts w:ascii="Garamond" w:hAnsi="Garamond"/>
          <w:sz w:val="24"/>
          <w:szCs w:val="24"/>
        </w:rPr>
      </w:pPr>
      <w:r w:rsidRPr="0006603C">
        <w:rPr>
          <w:rFonts w:ascii="Garamond" w:hAnsi="Garamond" w:cs="Arial"/>
          <w:b/>
          <w:color w:val="333333"/>
          <w:sz w:val="24"/>
          <w:szCs w:val="24"/>
        </w:rPr>
        <w:t>Enhance domestic resource mobilization</w:t>
      </w:r>
      <w:r w:rsidRPr="0006603C">
        <w:rPr>
          <w:rFonts w:ascii="Garamond" w:hAnsi="Garamond" w:cs="Arial"/>
          <w:color w:val="333333"/>
          <w:sz w:val="24"/>
          <w:szCs w:val="24"/>
        </w:rPr>
        <w:t xml:space="preserve"> </w:t>
      </w:r>
    </w:p>
    <w:p w:rsidR="004137EE" w:rsidRPr="00DC5682" w:rsidRDefault="004137EE" w:rsidP="00DC5682">
      <w:pPr>
        <w:autoSpaceDE w:val="0"/>
        <w:autoSpaceDN w:val="0"/>
        <w:adjustRightInd w:val="0"/>
        <w:spacing w:after="0" w:line="240" w:lineRule="auto"/>
        <w:jc w:val="both"/>
        <w:rPr>
          <w:rFonts w:ascii="Garamond" w:hAnsi="Garamond"/>
          <w:sz w:val="24"/>
          <w:szCs w:val="24"/>
        </w:rPr>
      </w:pPr>
      <w:r w:rsidRPr="00DC5682">
        <w:rPr>
          <w:rFonts w:ascii="Garamond" w:hAnsi="Garamond"/>
          <w:sz w:val="24"/>
          <w:szCs w:val="24"/>
        </w:rPr>
        <w:t>Ethiopia has challenges in terms of development financing and requires a significant boost to its domestic resource mobilization programme to maintain the pace of development achieved in recent years, deepen structural transformation, achieve the GTP goals, and to achieve its longer-term aims in terms of the SDGs and reaching a lower middle-income status</w:t>
      </w:r>
      <w:r w:rsidR="009C0357" w:rsidRPr="00DC5682">
        <w:rPr>
          <w:rFonts w:ascii="Garamond" w:hAnsi="Garamond"/>
          <w:sz w:val="24"/>
          <w:szCs w:val="24"/>
        </w:rPr>
        <w:t xml:space="preserve"> by 2025</w:t>
      </w:r>
      <w:r w:rsidRPr="00DC5682">
        <w:rPr>
          <w:rFonts w:ascii="Garamond" w:hAnsi="Garamond"/>
          <w:sz w:val="24"/>
          <w:szCs w:val="24"/>
        </w:rPr>
        <w:t>.</w:t>
      </w:r>
    </w:p>
    <w:p w:rsidR="004137EE" w:rsidRPr="00DC5682" w:rsidRDefault="00DC5682" w:rsidP="00DC5682">
      <w:pPr>
        <w:autoSpaceDE w:val="0"/>
        <w:autoSpaceDN w:val="0"/>
        <w:adjustRightInd w:val="0"/>
        <w:spacing w:after="0" w:line="240" w:lineRule="auto"/>
        <w:jc w:val="both"/>
        <w:rPr>
          <w:rFonts w:ascii="Garamond" w:hAnsi="Garamond"/>
          <w:sz w:val="24"/>
          <w:szCs w:val="24"/>
        </w:rPr>
      </w:pPr>
      <w:r>
        <w:rPr>
          <w:rFonts w:ascii="Garamond" w:hAnsi="Garamond"/>
          <w:b/>
          <w:sz w:val="24"/>
          <w:szCs w:val="24"/>
        </w:rPr>
        <w:t xml:space="preserve">(i) </w:t>
      </w:r>
      <w:r w:rsidR="004137EE" w:rsidRPr="00DC5682">
        <w:rPr>
          <w:rFonts w:ascii="Garamond" w:hAnsi="Garamond"/>
          <w:b/>
          <w:sz w:val="24"/>
          <w:szCs w:val="24"/>
        </w:rPr>
        <w:t xml:space="preserve">Enhancing domestic saving: </w:t>
      </w:r>
      <w:r w:rsidR="004137EE" w:rsidRPr="00DC5682">
        <w:rPr>
          <w:rFonts w:ascii="Garamond" w:hAnsi="Garamond"/>
          <w:sz w:val="24"/>
          <w:szCs w:val="24"/>
        </w:rPr>
        <w:t>Ethiopia’s resource gap (the difference between domestic saving and domestic investment) has remained large at 17.1 percent of GDP in 2014/15, indicating dependence on international savings to finance its investment.</w:t>
      </w:r>
      <w:r w:rsidR="004137EE" w:rsidRPr="00E57261">
        <w:t xml:space="preserve"> </w:t>
      </w:r>
      <w:r w:rsidR="004137EE" w:rsidRPr="00DC5682">
        <w:rPr>
          <w:rFonts w:ascii="Garamond" w:hAnsi="Garamond"/>
          <w:sz w:val="24"/>
          <w:szCs w:val="24"/>
        </w:rPr>
        <w:t>Two areas worth mentioning to boost the domestic saving including enhance private and government saving</w:t>
      </w:r>
      <w:r w:rsidR="005C428F" w:rsidRPr="00DC5682">
        <w:rPr>
          <w:rFonts w:ascii="Garamond" w:hAnsi="Garamond"/>
          <w:sz w:val="24"/>
          <w:szCs w:val="24"/>
        </w:rPr>
        <w:t>s</w:t>
      </w:r>
      <w:r w:rsidR="004137EE" w:rsidRPr="00DC5682">
        <w:rPr>
          <w:rFonts w:ascii="Garamond" w:hAnsi="Garamond"/>
          <w:sz w:val="24"/>
          <w:szCs w:val="24"/>
        </w:rPr>
        <w:t>. The former can be enhanced through financial inclusion (e.g. through improved access to financial services), financial literacy, creating decent work opportunities, etc. There is also a need to raise government saving through effective administration of tax policies, broaden tax coverage, prioritize government expenditure to capital investment, efficient and utilization of budget (through improved service delivery, project management and planning), focus on sectors that accelerate capital accumulation, and reducing wastage and improving transparency on expenditure. In particular, strengthen and expand saving instruments including contractual savings and services such as saving for housing program, saving for investment equipment scheme, social security saving, and health insurance saving.</w:t>
      </w:r>
    </w:p>
    <w:p w:rsidR="004137EE" w:rsidRDefault="004137EE" w:rsidP="00DC5682">
      <w:pPr>
        <w:autoSpaceDE w:val="0"/>
        <w:autoSpaceDN w:val="0"/>
        <w:adjustRightInd w:val="0"/>
        <w:spacing w:after="0" w:line="240" w:lineRule="auto"/>
        <w:jc w:val="both"/>
        <w:rPr>
          <w:rFonts w:ascii="Garamond" w:hAnsi="Garamond"/>
          <w:sz w:val="24"/>
          <w:szCs w:val="24"/>
        </w:rPr>
      </w:pPr>
      <w:r>
        <w:rPr>
          <w:rFonts w:ascii="Garamond" w:hAnsi="Garamond"/>
          <w:b/>
          <w:sz w:val="24"/>
          <w:szCs w:val="24"/>
        </w:rPr>
        <w:t xml:space="preserve">(ii) </w:t>
      </w:r>
      <w:r w:rsidRPr="004427C3">
        <w:rPr>
          <w:rFonts w:ascii="Garamond" w:hAnsi="Garamond"/>
          <w:b/>
          <w:sz w:val="24"/>
          <w:szCs w:val="24"/>
        </w:rPr>
        <w:t>Raising domestic revenue</w:t>
      </w:r>
      <w:r w:rsidR="00DC5682">
        <w:rPr>
          <w:rFonts w:ascii="Garamond" w:hAnsi="Garamond"/>
          <w:b/>
          <w:sz w:val="24"/>
          <w:szCs w:val="24"/>
        </w:rPr>
        <w:t xml:space="preserve">:  </w:t>
      </w:r>
      <w:r w:rsidR="00DC5682" w:rsidRPr="00DC5682">
        <w:rPr>
          <w:rFonts w:ascii="Garamond" w:hAnsi="Garamond"/>
          <w:sz w:val="24"/>
          <w:szCs w:val="24"/>
        </w:rPr>
        <w:t>D</w:t>
      </w:r>
      <w:r>
        <w:rPr>
          <w:rFonts w:ascii="Garamond" w:hAnsi="Garamond"/>
          <w:sz w:val="24"/>
          <w:szCs w:val="24"/>
        </w:rPr>
        <w:t xml:space="preserve">omestic revenue, which consists of both tax and non-tax revenues, forms a key source for financing development interventions. </w:t>
      </w:r>
      <w:r w:rsidRPr="00C24539">
        <w:rPr>
          <w:rFonts w:ascii="Garamond" w:hAnsi="Garamond"/>
          <w:sz w:val="24"/>
          <w:szCs w:val="24"/>
        </w:rPr>
        <w:t xml:space="preserve">There is a wide gap between tax capacity and actual tax revenues raised due to </w:t>
      </w:r>
      <w:r>
        <w:rPr>
          <w:rFonts w:ascii="Garamond" w:hAnsi="Garamond"/>
          <w:sz w:val="24"/>
          <w:szCs w:val="24"/>
        </w:rPr>
        <w:t xml:space="preserve">among others limited tax base, narrow tax coverage, high compliance cost, and tax </w:t>
      </w:r>
      <w:r w:rsidRPr="00C24539">
        <w:rPr>
          <w:rFonts w:ascii="Garamond" w:hAnsi="Garamond"/>
          <w:sz w:val="24"/>
          <w:szCs w:val="24"/>
        </w:rPr>
        <w:t>administration challenges.</w:t>
      </w:r>
      <w:r>
        <w:rPr>
          <w:rFonts w:ascii="Garamond" w:hAnsi="Garamond"/>
          <w:sz w:val="24"/>
          <w:szCs w:val="24"/>
        </w:rPr>
        <w:t xml:space="preserve"> </w:t>
      </w:r>
    </w:p>
    <w:p w:rsidR="004137EE" w:rsidRPr="0066681C" w:rsidRDefault="004137EE" w:rsidP="00DA2136">
      <w:pPr>
        <w:pStyle w:val="ListParagraph"/>
        <w:numPr>
          <w:ilvl w:val="0"/>
          <w:numId w:val="24"/>
        </w:numPr>
        <w:autoSpaceDE w:val="0"/>
        <w:autoSpaceDN w:val="0"/>
        <w:adjustRightInd w:val="0"/>
        <w:spacing w:after="0" w:line="240" w:lineRule="auto"/>
        <w:ind w:left="720" w:hanging="180"/>
        <w:jc w:val="both"/>
        <w:rPr>
          <w:rFonts w:ascii="Garamond" w:hAnsi="Garamond"/>
          <w:sz w:val="24"/>
          <w:szCs w:val="24"/>
        </w:rPr>
      </w:pPr>
      <w:r w:rsidRPr="0066681C">
        <w:rPr>
          <w:rFonts w:ascii="Garamond" w:hAnsi="Garamond"/>
          <w:b/>
          <w:sz w:val="24"/>
          <w:szCs w:val="24"/>
        </w:rPr>
        <w:t xml:space="preserve">Broadening the tax base: </w:t>
      </w:r>
      <w:r w:rsidRPr="0066681C">
        <w:rPr>
          <w:rFonts w:ascii="Garamond" w:hAnsi="Garamond"/>
          <w:sz w:val="24"/>
          <w:szCs w:val="24"/>
        </w:rPr>
        <w:t xml:space="preserve">Although Ethiopia’s tax system has been modestly buoyant, its share in GDP remained low. The tax base of the country is confined to a limited number of tax items, suggesting the need for broadening the tax base through introducing new taxes (e.g. property tax) and charges (e.g. Charges for drainage services on building owners). There is also a need to assess the tax potential of the country to identify promising and feasible tax bases which help design a national resource mobilization strategy to guide future strategic interventions. </w:t>
      </w:r>
    </w:p>
    <w:p w:rsidR="004137EE" w:rsidRDefault="004137EE" w:rsidP="00F82810">
      <w:pPr>
        <w:pStyle w:val="ListParagraph"/>
        <w:numPr>
          <w:ilvl w:val="0"/>
          <w:numId w:val="24"/>
        </w:numPr>
        <w:spacing w:after="0" w:line="240" w:lineRule="auto"/>
        <w:ind w:left="630" w:hanging="180"/>
        <w:jc w:val="both"/>
        <w:rPr>
          <w:rFonts w:ascii="Garamond" w:hAnsi="Garamond"/>
          <w:sz w:val="24"/>
          <w:szCs w:val="24"/>
        </w:rPr>
      </w:pPr>
      <w:r w:rsidRPr="00444AD6">
        <w:rPr>
          <w:rFonts w:ascii="Garamond" w:hAnsi="Garamond"/>
          <w:b/>
          <w:sz w:val="24"/>
          <w:szCs w:val="24"/>
        </w:rPr>
        <w:t>Reduce the cost of paying taxes</w:t>
      </w:r>
      <w:r>
        <w:rPr>
          <w:rFonts w:ascii="Garamond" w:hAnsi="Garamond"/>
          <w:sz w:val="24"/>
          <w:szCs w:val="24"/>
        </w:rPr>
        <w:t>:</w:t>
      </w:r>
      <w:r w:rsidRPr="000724C2">
        <w:rPr>
          <w:rFonts w:ascii="Garamond" w:hAnsi="Garamond"/>
          <w:sz w:val="24"/>
          <w:szCs w:val="24"/>
        </w:rPr>
        <w:t xml:space="preserve"> </w:t>
      </w:r>
      <w:r>
        <w:rPr>
          <w:rFonts w:ascii="Garamond" w:hAnsi="Garamond"/>
          <w:sz w:val="24"/>
          <w:szCs w:val="24"/>
        </w:rPr>
        <w:t xml:space="preserve">Give the relatively high tax compliance cost in </w:t>
      </w:r>
      <w:r w:rsidRPr="000724C2">
        <w:rPr>
          <w:rFonts w:ascii="Garamond" w:hAnsi="Garamond"/>
          <w:sz w:val="24"/>
          <w:szCs w:val="24"/>
        </w:rPr>
        <w:t>Ethiopia</w:t>
      </w:r>
      <w:r>
        <w:rPr>
          <w:rFonts w:ascii="Garamond" w:hAnsi="Garamond"/>
          <w:sz w:val="24"/>
          <w:szCs w:val="24"/>
        </w:rPr>
        <w:t xml:space="preserve">, efforts are required to reduce this cost through introducing </w:t>
      </w:r>
      <w:r w:rsidRPr="000724C2">
        <w:rPr>
          <w:rFonts w:ascii="Garamond" w:hAnsi="Garamond"/>
          <w:sz w:val="24"/>
          <w:szCs w:val="24"/>
        </w:rPr>
        <w:t>reforms</w:t>
      </w:r>
      <w:r>
        <w:rPr>
          <w:rFonts w:ascii="Garamond" w:hAnsi="Garamond"/>
          <w:sz w:val="24"/>
          <w:szCs w:val="24"/>
        </w:rPr>
        <w:t xml:space="preserve">. </w:t>
      </w:r>
      <w:r w:rsidRPr="00353C5B">
        <w:rPr>
          <w:rFonts w:ascii="Garamond" w:hAnsi="Garamond" w:cs="Arial"/>
          <w:color w:val="333333"/>
          <w:sz w:val="24"/>
          <w:szCs w:val="24"/>
        </w:rPr>
        <w:t xml:space="preserve">From a business cost perspective, </w:t>
      </w:r>
      <w:r>
        <w:rPr>
          <w:rFonts w:ascii="Garamond" w:hAnsi="Garamond" w:cs="Arial"/>
          <w:color w:val="333333"/>
          <w:sz w:val="24"/>
          <w:szCs w:val="24"/>
        </w:rPr>
        <w:t xml:space="preserve">tax </w:t>
      </w:r>
      <w:r w:rsidRPr="00353C5B">
        <w:rPr>
          <w:rFonts w:ascii="Garamond" w:hAnsi="Garamond" w:cs="Arial"/>
          <w:color w:val="333333"/>
          <w:sz w:val="24"/>
          <w:szCs w:val="24"/>
        </w:rPr>
        <w:t xml:space="preserve">compliance with the documentation requirements </w:t>
      </w:r>
      <w:r w:rsidRPr="00586F54">
        <w:rPr>
          <w:rFonts w:ascii="Garamond" w:hAnsi="Garamond" w:cs="FreeSetC"/>
          <w:sz w:val="24"/>
          <w:szCs w:val="24"/>
        </w:rPr>
        <w:t xml:space="preserve">needs substantially more time, a factor which has increased the difficulty of doing business in Ethiopia. </w:t>
      </w:r>
      <w:r w:rsidRPr="006D72A4">
        <w:rPr>
          <w:rFonts w:ascii="Garamond" w:eastAsia="Times New Roman" w:hAnsi="Garamond"/>
          <w:sz w:val="24"/>
          <w:szCs w:val="24"/>
        </w:rPr>
        <w:t>There is a need to develop a comprehensive program</w:t>
      </w:r>
      <w:r>
        <w:rPr>
          <w:rFonts w:ascii="Garamond" w:eastAsia="Times New Roman" w:hAnsi="Garamond"/>
          <w:sz w:val="24"/>
          <w:szCs w:val="24"/>
        </w:rPr>
        <w:t>me</w:t>
      </w:r>
      <w:r w:rsidRPr="006D72A4">
        <w:rPr>
          <w:rFonts w:ascii="Garamond" w:eastAsia="Times New Roman" w:hAnsi="Garamond"/>
          <w:sz w:val="24"/>
          <w:szCs w:val="24"/>
        </w:rPr>
        <w:t xml:space="preserve"> to improve voluntary tax compliance through tax education, revisit the tax system and administration, </w:t>
      </w:r>
      <w:r w:rsidR="00FB7BE4" w:rsidRPr="00960A42">
        <w:rPr>
          <w:rFonts w:ascii="Garamond" w:hAnsi="Garamond" w:cs="Arial"/>
          <w:color w:val="333333"/>
          <w:sz w:val="24"/>
          <w:szCs w:val="24"/>
        </w:rPr>
        <w:t>establishing a modern and reliable trade information system, providing continuous capacity building for exporters, raising the efficiency of trade registration and licensing system</w:t>
      </w:r>
      <w:r w:rsidR="00FB7BE4" w:rsidRPr="006D72A4">
        <w:rPr>
          <w:rFonts w:ascii="Garamond" w:eastAsia="Times New Roman" w:hAnsi="Garamond"/>
          <w:sz w:val="24"/>
          <w:szCs w:val="24"/>
        </w:rPr>
        <w:t xml:space="preserve"> </w:t>
      </w:r>
      <w:r w:rsidRPr="006D72A4">
        <w:rPr>
          <w:rFonts w:ascii="Garamond" w:eastAsia="Times New Roman" w:hAnsi="Garamond"/>
          <w:sz w:val="24"/>
          <w:szCs w:val="24"/>
        </w:rPr>
        <w:t xml:space="preserve">and promote use of electronic payment </w:t>
      </w:r>
      <w:r w:rsidRPr="006D72A4">
        <w:rPr>
          <w:rFonts w:ascii="Garamond" w:eastAsia="Times New Roman" w:hAnsi="Garamond"/>
          <w:sz w:val="24"/>
          <w:szCs w:val="24"/>
        </w:rPr>
        <w:lastRenderedPageBreak/>
        <w:t>system.</w:t>
      </w:r>
      <w:r>
        <w:rPr>
          <w:rFonts w:ascii="Garamond" w:eastAsia="Times New Roman" w:hAnsi="Garamond"/>
          <w:sz w:val="24"/>
          <w:szCs w:val="24"/>
        </w:rPr>
        <w:t xml:space="preserve"> </w:t>
      </w:r>
      <w:r w:rsidRPr="003F3384">
        <w:rPr>
          <w:rFonts w:ascii="Garamond" w:hAnsi="Garamond" w:cs="FreeSetC"/>
          <w:sz w:val="24"/>
          <w:szCs w:val="24"/>
        </w:rPr>
        <w:t>Strengthening the SIGTAS (Standard Integrated Government Tax Administration System) for self-help services such as online registration, filing</w:t>
      </w:r>
      <w:r>
        <w:rPr>
          <w:rFonts w:ascii="Garamond" w:hAnsi="Garamond" w:cs="FreeSetC"/>
          <w:sz w:val="24"/>
          <w:szCs w:val="24"/>
        </w:rPr>
        <w:t>,</w:t>
      </w:r>
      <w:r w:rsidRPr="003F3384">
        <w:rPr>
          <w:rFonts w:ascii="Garamond" w:hAnsi="Garamond" w:cs="FreeSetC"/>
          <w:sz w:val="24"/>
          <w:szCs w:val="24"/>
        </w:rPr>
        <w:t xml:space="preserve"> payment</w:t>
      </w:r>
      <w:r>
        <w:rPr>
          <w:rFonts w:ascii="Garamond" w:hAnsi="Garamond" w:cs="FreeSetC"/>
          <w:sz w:val="24"/>
          <w:szCs w:val="24"/>
        </w:rPr>
        <w:t xml:space="preserve"> and reports to c</w:t>
      </w:r>
      <w:r w:rsidRPr="00A33EB6">
        <w:rPr>
          <w:rFonts w:ascii="Garamond" w:hAnsi="Garamond" w:cs="FreeSetC"/>
          <w:sz w:val="24"/>
          <w:szCs w:val="24"/>
        </w:rPr>
        <w:t xml:space="preserve">onsiderably reduce the time costs and the overall tax </w:t>
      </w:r>
      <w:r w:rsidR="007D658D">
        <w:rPr>
          <w:rFonts w:ascii="Garamond" w:hAnsi="Garamond" w:cs="FreeSetC"/>
          <w:sz w:val="24"/>
          <w:szCs w:val="24"/>
        </w:rPr>
        <w:t>compliance costs for businesses</w:t>
      </w:r>
      <w:r w:rsidR="00FB7BE4">
        <w:rPr>
          <w:rFonts w:ascii="Garamond" w:hAnsi="Garamond" w:cs="FreeSetC"/>
          <w:sz w:val="24"/>
          <w:szCs w:val="24"/>
        </w:rPr>
        <w:t xml:space="preserve">. </w:t>
      </w:r>
      <w:r>
        <w:rPr>
          <w:rFonts w:ascii="Garamond" w:hAnsi="Garamond" w:cs="FreeSetC"/>
          <w:sz w:val="24"/>
          <w:szCs w:val="24"/>
        </w:rPr>
        <w:t xml:space="preserve">Introduce </w:t>
      </w:r>
      <w:r w:rsidRPr="00917B00">
        <w:rPr>
          <w:rFonts w:ascii="Garamond" w:hAnsi="Garamond" w:cs="FreeSetC"/>
          <w:sz w:val="24"/>
          <w:szCs w:val="24"/>
        </w:rPr>
        <w:t>a simplified presumptive tax for small, informal businesses, in part to drive activity into formal enterprise</w:t>
      </w:r>
      <w:r>
        <w:rPr>
          <w:rFonts w:ascii="Garamond" w:hAnsi="Garamond" w:cs="FreeSetC"/>
          <w:sz w:val="24"/>
          <w:szCs w:val="24"/>
        </w:rPr>
        <w:t xml:space="preserve">s. </w:t>
      </w:r>
      <w:r w:rsidRPr="00A33EB6">
        <w:rPr>
          <w:rFonts w:ascii="Garamond" w:hAnsi="Garamond" w:cs="FreeSetC"/>
          <w:sz w:val="24"/>
          <w:szCs w:val="24"/>
        </w:rPr>
        <w:t xml:space="preserve">In addition, ERCA in collaboration with relevant institutions (e.g. </w:t>
      </w:r>
      <w:r>
        <w:rPr>
          <w:rFonts w:ascii="Garamond" w:hAnsi="Garamond" w:cs="FreeSetC"/>
          <w:sz w:val="24"/>
          <w:szCs w:val="24"/>
        </w:rPr>
        <w:t xml:space="preserve">financial institutions such as </w:t>
      </w:r>
      <w:r w:rsidRPr="00A33EB6">
        <w:rPr>
          <w:rFonts w:ascii="Garamond" w:hAnsi="Garamond" w:cs="FreeSetC"/>
          <w:sz w:val="24"/>
          <w:szCs w:val="24"/>
        </w:rPr>
        <w:t xml:space="preserve">banks) could also explore the option of using mobile filing and payment. </w:t>
      </w:r>
      <w:r>
        <w:rPr>
          <w:rFonts w:ascii="Garamond" w:hAnsi="Garamond" w:cs="FreeSetC"/>
          <w:sz w:val="24"/>
          <w:szCs w:val="24"/>
        </w:rPr>
        <w:t xml:space="preserve">This needs to be supported by </w:t>
      </w:r>
      <w:r w:rsidRPr="00A33EB6">
        <w:rPr>
          <w:rFonts w:ascii="Garamond" w:hAnsi="Garamond" w:cs="GillSans"/>
          <w:sz w:val="24"/>
          <w:szCs w:val="24"/>
        </w:rPr>
        <w:t>educat</w:t>
      </w:r>
      <w:r>
        <w:rPr>
          <w:rFonts w:ascii="Garamond" w:hAnsi="Garamond" w:cs="GillSans"/>
          <w:sz w:val="24"/>
          <w:szCs w:val="24"/>
        </w:rPr>
        <w:t xml:space="preserve">ing </w:t>
      </w:r>
      <w:r w:rsidRPr="00A33EB6">
        <w:rPr>
          <w:rFonts w:ascii="Garamond" w:hAnsi="Garamond" w:cs="GillSans"/>
          <w:sz w:val="24"/>
          <w:szCs w:val="24"/>
        </w:rPr>
        <w:t>and train</w:t>
      </w:r>
      <w:r>
        <w:rPr>
          <w:rFonts w:ascii="Garamond" w:hAnsi="Garamond" w:cs="GillSans"/>
          <w:sz w:val="24"/>
          <w:szCs w:val="24"/>
        </w:rPr>
        <w:t>ing</w:t>
      </w:r>
      <w:r w:rsidRPr="00A33EB6">
        <w:rPr>
          <w:rFonts w:ascii="Garamond" w:hAnsi="Garamond" w:cs="GillSans"/>
          <w:sz w:val="24"/>
          <w:szCs w:val="24"/>
        </w:rPr>
        <w:t xml:space="preserve"> businesses, including training in general tax compliance and how to complete </w:t>
      </w:r>
      <w:r>
        <w:rPr>
          <w:rFonts w:ascii="Garamond" w:hAnsi="Garamond" w:cs="GillSans"/>
          <w:sz w:val="24"/>
          <w:szCs w:val="24"/>
        </w:rPr>
        <w:t>electronic filing systems</w:t>
      </w:r>
      <w:r w:rsidRPr="00A33EB6">
        <w:rPr>
          <w:rFonts w:ascii="Garamond" w:hAnsi="Garamond" w:cs="GillSans"/>
          <w:sz w:val="24"/>
          <w:szCs w:val="24"/>
        </w:rPr>
        <w:t>.</w:t>
      </w:r>
      <w:r>
        <w:rPr>
          <w:rFonts w:ascii="Garamond" w:hAnsi="Garamond" w:cs="GillSans"/>
          <w:sz w:val="24"/>
          <w:szCs w:val="24"/>
        </w:rPr>
        <w:t xml:space="preserve"> </w:t>
      </w:r>
      <w:r>
        <w:rPr>
          <w:rFonts w:ascii="Garamond" w:hAnsi="Garamond"/>
          <w:sz w:val="24"/>
          <w:szCs w:val="24"/>
        </w:rPr>
        <w:t xml:space="preserve">In addition, there is a need to </w:t>
      </w:r>
      <w:r w:rsidRPr="00A33EB6">
        <w:rPr>
          <w:rFonts w:ascii="Garamond" w:hAnsi="Garamond" w:cs="FrutigerLTStd-Light"/>
          <w:sz w:val="24"/>
          <w:szCs w:val="24"/>
        </w:rPr>
        <w:t xml:space="preserve">encourage business to use </w:t>
      </w:r>
      <w:r>
        <w:rPr>
          <w:rFonts w:ascii="Garamond" w:hAnsi="Garamond" w:cs="FrutigerLTStd-Light"/>
          <w:sz w:val="24"/>
          <w:szCs w:val="24"/>
        </w:rPr>
        <w:t xml:space="preserve">technologies (e.g. </w:t>
      </w:r>
      <w:r w:rsidRPr="00A33EB6">
        <w:rPr>
          <w:rFonts w:ascii="Garamond" w:hAnsi="Garamond" w:cs="FrutigerLTStd-Light"/>
          <w:sz w:val="24"/>
          <w:szCs w:val="24"/>
        </w:rPr>
        <w:t>computers</w:t>
      </w:r>
      <w:r>
        <w:rPr>
          <w:rFonts w:ascii="Garamond" w:hAnsi="Garamond" w:cs="FrutigerLTStd-Light"/>
          <w:sz w:val="24"/>
          <w:szCs w:val="24"/>
        </w:rPr>
        <w:t xml:space="preserve"> and softwares)</w:t>
      </w:r>
      <w:r w:rsidRPr="00A33EB6">
        <w:rPr>
          <w:rFonts w:ascii="Garamond" w:hAnsi="Garamond" w:cs="FrutigerLTStd-Light"/>
          <w:sz w:val="24"/>
          <w:szCs w:val="24"/>
        </w:rPr>
        <w:t xml:space="preserve"> </w:t>
      </w:r>
      <w:r>
        <w:rPr>
          <w:rFonts w:ascii="Garamond" w:hAnsi="Garamond" w:cs="FrutigerLTStd-Light"/>
          <w:sz w:val="24"/>
          <w:szCs w:val="24"/>
        </w:rPr>
        <w:t>not only for b</w:t>
      </w:r>
      <w:r w:rsidRPr="00A33EB6">
        <w:rPr>
          <w:rFonts w:ascii="Garamond" w:hAnsi="Garamond" w:cs="FrutigerLTStd-Light"/>
          <w:sz w:val="24"/>
          <w:szCs w:val="24"/>
        </w:rPr>
        <w:t xml:space="preserve">usiness and bookkeeping </w:t>
      </w:r>
      <w:r>
        <w:rPr>
          <w:rFonts w:ascii="Garamond" w:hAnsi="Garamond" w:cs="FrutigerLTStd-Light"/>
          <w:sz w:val="24"/>
          <w:szCs w:val="24"/>
        </w:rPr>
        <w:t xml:space="preserve">but also </w:t>
      </w:r>
      <w:r w:rsidRPr="00A33EB6">
        <w:rPr>
          <w:rFonts w:ascii="Garamond" w:hAnsi="Garamond" w:cs="FrutigerLTStd-Light"/>
          <w:sz w:val="24"/>
          <w:szCs w:val="24"/>
        </w:rPr>
        <w:t>tax accounting purposes</w:t>
      </w:r>
      <w:r>
        <w:rPr>
          <w:rFonts w:ascii="Garamond" w:hAnsi="Garamond" w:cs="FrutigerLTStd-Light"/>
          <w:sz w:val="24"/>
          <w:szCs w:val="24"/>
        </w:rPr>
        <w:t xml:space="preserve"> </w:t>
      </w:r>
      <w:r>
        <w:rPr>
          <w:rFonts w:ascii="Garamond" w:hAnsi="Garamond"/>
          <w:sz w:val="24"/>
          <w:szCs w:val="24"/>
        </w:rPr>
        <w:t>through providing inclusive training.</w:t>
      </w:r>
    </w:p>
    <w:p w:rsidR="004137EE" w:rsidRDefault="004137EE" w:rsidP="00C462CD">
      <w:pPr>
        <w:pStyle w:val="ListParagraph"/>
        <w:spacing w:after="0" w:line="240" w:lineRule="auto"/>
        <w:ind w:left="907"/>
        <w:jc w:val="both"/>
        <w:rPr>
          <w:rFonts w:ascii="Garamond" w:hAnsi="Garamond"/>
          <w:sz w:val="24"/>
          <w:szCs w:val="24"/>
        </w:rPr>
      </w:pPr>
      <w:r>
        <w:rPr>
          <w:rFonts w:ascii="Garamond" w:hAnsi="Garamond"/>
          <w:sz w:val="24"/>
          <w:szCs w:val="24"/>
        </w:rPr>
        <w:t xml:space="preserve"> </w:t>
      </w:r>
    </w:p>
    <w:p w:rsidR="008834F0" w:rsidRPr="008834F0" w:rsidRDefault="004137EE" w:rsidP="00E60E10">
      <w:pPr>
        <w:pStyle w:val="ListParagraph"/>
        <w:numPr>
          <w:ilvl w:val="0"/>
          <w:numId w:val="24"/>
        </w:numPr>
        <w:autoSpaceDE w:val="0"/>
        <w:autoSpaceDN w:val="0"/>
        <w:adjustRightInd w:val="0"/>
        <w:spacing w:after="0" w:line="240" w:lineRule="auto"/>
        <w:jc w:val="both"/>
        <w:rPr>
          <w:rFonts w:ascii="Garamond" w:hAnsi="Garamond"/>
          <w:b/>
          <w:color w:val="000000"/>
          <w:sz w:val="24"/>
          <w:szCs w:val="24"/>
        </w:rPr>
      </w:pPr>
      <w:r w:rsidRPr="008834F0">
        <w:rPr>
          <w:rFonts w:ascii="Garamond" w:hAnsi="Garamond"/>
          <w:b/>
          <w:color w:val="000000"/>
          <w:sz w:val="24"/>
          <w:szCs w:val="24"/>
        </w:rPr>
        <w:t xml:space="preserve">Increase tax coverage: </w:t>
      </w:r>
      <w:r w:rsidR="00B506A5" w:rsidRPr="008834F0">
        <w:rPr>
          <w:rFonts w:ascii="Garamond" w:hAnsi="Garamond"/>
          <w:color w:val="000000"/>
          <w:sz w:val="24"/>
          <w:szCs w:val="24"/>
        </w:rPr>
        <w:t xml:space="preserve">There is a need for expanding the tax coverage </w:t>
      </w:r>
      <w:r w:rsidR="007D0F51" w:rsidRPr="008834F0">
        <w:rPr>
          <w:rFonts w:ascii="Garamond" w:hAnsi="Garamond"/>
          <w:color w:val="000000"/>
          <w:sz w:val="24"/>
          <w:szCs w:val="24"/>
        </w:rPr>
        <w:t xml:space="preserve">by </w:t>
      </w:r>
      <w:r w:rsidRPr="008834F0">
        <w:rPr>
          <w:rFonts w:ascii="Garamond" w:hAnsi="Garamond"/>
          <w:sz w:val="24"/>
          <w:szCs w:val="24"/>
        </w:rPr>
        <w:t>capturing new businesses into the tax net through education, awareness creation, and collecting relevant information to provide tax identification number (TIN) for each potential taxpayer.</w:t>
      </w:r>
      <w:r w:rsidRPr="00B506A5">
        <w:t xml:space="preserve"> </w:t>
      </w:r>
      <w:r w:rsidRPr="008834F0">
        <w:rPr>
          <w:rFonts w:ascii="Garamond" w:hAnsi="Garamond"/>
          <w:sz w:val="24"/>
          <w:szCs w:val="24"/>
        </w:rPr>
        <w:t xml:space="preserve">Establish a robust communication between various agencies for better tax coverage, specifically with branches of the Revenue Authority, Investment Commissions, Transport Office, Chamber of Commerce, and Trade and Industry offices. </w:t>
      </w:r>
    </w:p>
    <w:p w:rsidR="008834F0" w:rsidRPr="008834F0" w:rsidRDefault="008834F0" w:rsidP="008834F0">
      <w:pPr>
        <w:pStyle w:val="ListParagraph"/>
        <w:rPr>
          <w:rFonts w:ascii="Garamond" w:hAnsi="Garamond"/>
          <w:b/>
          <w:sz w:val="24"/>
          <w:szCs w:val="24"/>
        </w:rPr>
      </w:pPr>
    </w:p>
    <w:p w:rsidR="008834F0" w:rsidRPr="008834F0" w:rsidRDefault="004137EE" w:rsidP="00E60E10">
      <w:pPr>
        <w:pStyle w:val="ListParagraph"/>
        <w:numPr>
          <w:ilvl w:val="0"/>
          <w:numId w:val="24"/>
        </w:numPr>
        <w:autoSpaceDE w:val="0"/>
        <w:autoSpaceDN w:val="0"/>
        <w:adjustRightInd w:val="0"/>
        <w:spacing w:after="0" w:line="240" w:lineRule="auto"/>
        <w:ind w:left="630" w:hanging="180"/>
        <w:jc w:val="both"/>
        <w:rPr>
          <w:rFonts w:ascii="Times New Roman" w:hAnsi="Times New Roman"/>
        </w:rPr>
      </w:pPr>
      <w:r w:rsidRPr="008834F0">
        <w:rPr>
          <w:rFonts w:ascii="Garamond" w:hAnsi="Garamond"/>
          <w:b/>
          <w:sz w:val="24"/>
          <w:szCs w:val="24"/>
        </w:rPr>
        <w:t>Introduce capital markets:</w:t>
      </w:r>
      <w:r w:rsidRPr="00516FA3">
        <w:t xml:space="preserve"> </w:t>
      </w:r>
      <w:r w:rsidR="00AC54B4" w:rsidRPr="008834F0">
        <w:rPr>
          <w:rFonts w:ascii="Garamond" w:hAnsi="Garamond"/>
          <w:sz w:val="24"/>
          <w:szCs w:val="24"/>
        </w:rPr>
        <w:t>Ne</w:t>
      </w:r>
      <w:r w:rsidR="009A5593" w:rsidRPr="008834F0">
        <w:rPr>
          <w:rFonts w:ascii="Garamond" w:hAnsi="Garamond"/>
          <w:sz w:val="24"/>
          <w:szCs w:val="24"/>
        </w:rPr>
        <w:t xml:space="preserve">w ways of looking at development </w:t>
      </w:r>
      <w:r w:rsidR="00AC54B4" w:rsidRPr="008834F0">
        <w:rPr>
          <w:rFonts w:ascii="Garamond" w:hAnsi="Garamond"/>
          <w:sz w:val="24"/>
          <w:szCs w:val="24"/>
        </w:rPr>
        <w:t>f</w:t>
      </w:r>
      <w:r w:rsidR="009A5593" w:rsidRPr="008834F0">
        <w:rPr>
          <w:rFonts w:ascii="Garamond" w:hAnsi="Garamond"/>
          <w:sz w:val="24"/>
          <w:szCs w:val="24"/>
        </w:rPr>
        <w:t>inance</w:t>
      </w:r>
      <w:r w:rsidR="00AC54B4" w:rsidRPr="008834F0">
        <w:rPr>
          <w:rFonts w:ascii="Garamond" w:hAnsi="Garamond"/>
          <w:sz w:val="24"/>
          <w:szCs w:val="24"/>
        </w:rPr>
        <w:t xml:space="preserve"> are required</w:t>
      </w:r>
      <w:r w:rsidR="009A5593" w:rsidRPr="008834F0">
        <w:rPr>
          <w:rFonts w:ascii="Garamond" w:hAnsi="Garamond"/>
          <w:sz w:val="24"/>
          <w:szCs w:val="24"/>
        </w:rPr>
        <w:t xml:space="preserve"> including </w:t>
      </w:r>
      <w:r w:rsidR="00D57327" w:rsidRPr="008834F0">
        <w:rPr>
          <w:rFonts w:ascii="Garamond" w:hAnsi="Garamond"/>
          <w:sz w:val="24"/>
          <w:szCs w:val="24"/>
        </w:rPr>
        <w:t>the use of c</w:t>
      </w:r>
      <w:r w:rsidR="009A5593" w:rsidRPr="008834F0">
        <w:rPr>
          <w:rFonts w:ascii="Garamond" w:hAnsi="Garamond"/>
          <w:sz w:val="24"/>
          <w:szCs w:val="24"/>
        </w:rPr>
        <w:t xml:space="preserve">apital markets to leverage the resources needed to implement </w:t>
      </w:r>
      <w:r w:rsidR="00AC54B4" w:rsidRPr="008834F0">
        <w:rPr>
          <w:rFonts w:ascii="Garamond" w:hAnsi="Garamond"/>
          <w:sz w:val="24"/>
          <w:szCs w:val="24"/>
        </w:rPr>
        <w:t xml:space="preserve">sustainable development interventions. </w:t>
      </w:r>
      <w:r w:rsidRPr="008834F0">
        <w:rPr>
          <w:rFonts w:ascii="Garamond" w:hAnsi="Garamond"/>
          <w:sz w:val="24"/>
          <w:szCs w:val="24"/>
        </w:rPr>
        <w:t>Ethiopia has successfully established a commodities exchange market but does not have a securities exchange market to mobilize the necessary financial resources.</w:t>
      </w:r>
      <w:r w:rsidRPr="00516FA3">
        <w:t xml:space="preserve"> </w:t>
      </w:r>
      <w:r w:rsidRPr="008834F0">
        <w:rPr>
          <w:rFonts w:ascii="Garamond" w:hAnsi="Garamond"/>
          <w:sz w:val="24"/>
          <w:szCs w:val="24"/>
        </w:rPr>
        <w:t xml:space="preserve">There is no bond market or secondary market in the country; shares have been traded openly, but people face problems of liquidation when the need arises. Absence of an organized </w:t>
      </w:r>
      <w:r w:rsidR="00D57327" w:rsidRPr="008834F0">
        <w:rPr>
          <w:rFonts w:ascii="Garamond" w:hAnsi="Garamond"/>
          <w:sz w:val="24"/>
          <w:szCs w:val="24"/>
        </w:rPr>
        <w:t xml:space="preserve">secondary </w:t>
      </w:r>
      <w:r w:rsidRPr="008834F0">
        <w:rPr>
          <w:rFonts w:ascii="Garamond" w:hAnsi="Garamond"/>
          <w:sz w:val="24"/>
          <w:szCs w:val="24"/>
        </w:rPr>
        <w:t xml:space="preserve">market puts a straightjacket to domestic resources mobilization efforts. This calls for establishing a </w:t>
      </w:r>
      <w:r w:rsidR="00010741" w:rsidRPr="008834F0">
        <w:rPr>
          <w:rFonts w:ascii="Garamond" w:hAnsi="Garamond"/>
          <w:sz w:val="24"/>
          <w:szCs w:val="24"/>
        </w:rPr>
        <w:t xml:space="preserve">secondary </w:t>
      </w:r>
      <w:r w:rsidRPr="008834F0">
        <w:rPr>
          <w:rFonts w:ascii="Garamond" w:hAnsi="Garamond"/>
          <w:sz w:val="24"/>
          <w:szCs w:val="24"/>
        </w:rPr>
        <w:t>market to raise finance domestically</w:t>
      </w:r>
      <w:r w:rsidR="00BA6EE8" w:rsidRPr="008834F0">
        <w:rPr>
          <w:rFonts w:ascii="Garamond" w:hAnsi="Garamond"/>
          <w:sz w:val="24"/>
          <w:szCs w:val="24"/>
        </w:rPr>
        <w:t xml:space="preserve"> which will also be the basis for establishing a full-fledged stock market</w:t>
      </w:r>
      <w:r w:rsidRPr="008834F0">
        <w:rPr>
          <w:rFonts w:ascii="Garamond" w:hAnsi="Garamond"/>
          <w:sz w:val="24"/>
          <w:szCs w:val="24"/>
        </w:rPr>
        <w:t xml:space="preserve">. The establishment of </w:t>
      </w:r>
      <w:r w:rsidR="00010741" w:rsidRPr="008834F0">
        <w:rPr>
          <w:rFonts w:ascii="Garamond" w:hAnsi="Garamond"/>
          <w:sz w:val="24"/>
          <w:szCs w:val="24"/>
        </w:rPr>
        <w:t xml:space="preserve">this </w:t>
      </w:r>
      <w:r w:rsidRPr="008834F0">
        <w:rPr>
          <w:rFonts w:ascii="Garamond" w:hAnsi="Garamond"/>
          <w:sz w:val="24"/>
          <w:szCs w:val="24"/>
        </w:rPr>
        <w:t>market could also help attract finance outside the formal banking sector and help mobilize the necessary finance for development</w:t>
      </w:r>
      <w:r w:rsidR="0051025F" w:rsidRPr="008834F0">
        <w:rPr>
          <w:rFonts w:ascii="Garamond" w:hAnsi="Garamond"/>
          <w:sz w:val="24"/>
          <w:szCs w:val="24"/>
        </w:rPr>
        <w:t xml:space="preserve"> by facilitating efﬁciency in resource allocation and contribute to market discipline through price signals, information production, and takeover activities.</w:t>
      </w:r>
      <w:r w:rsidR="0051025F">
        <w:rPr>
          <w:rStyle w:val="FootnoteReference"/>
          <w:rFonts w:ascii="Garamond" w:hAnsi="Garamond"/>
          <w:sz w:val="24"/>
          <w:szCs w:val="24"/>
        </w:rPr>
        <w:footnoteReference w:id="34"/>
      </w:r>
      <w:r w:rsidR="0051025F" w:rsidRPr="008834F0">
        <w:rPr>
          <w:rFonts w:ascii="Garamond" w:hAnsi="Garamond"/>
          <w:sz w:val="24"/>
          <w:szCs w:val="24"/>
        </w:rPr>
        <w:t xml:space="preserve"> </w:t>
      </w:r>
    </w:p>
    <w:p w:rsidR="008834F0" w:rsidRPr="008834F0" w:rsidRDefault="008834F0" w:rsidP="008834F0">
      <w:pPr>
        <w:pStyle w:val="ListParagraph"/>
        <w:rPr>
          <w:rFonts w:ascii="Garamond" w:hAnsi="Garamond"/>
          <w:b/>
          <w:sz w:val="24"/>
          <w:szCs w:val="24"/>
        </w:rPr>
      </w:pPr>
    </w:p>
    <w:p w:rsidR="002A4063" w:rsidRPr="008834F0" w:rsidRDefault="002A4063" w:rsidP="00E60E10">
      <w:pPr>
        <w:pStyle w:val="ListParagraph"/>
        <w:numPr>
          <w:ilvl w:val="0"/>
          <w:numId w:val="24"/>
        </w:numPr>
        <w:autoSpaceDE w:val="0"/>
        <w:autoSpaceDN w:val="0"/>
        <w:adjustRightInd w:val="0"/>
        <w:spacing w:after="0" w:line="240" w:lineRule="auto"/>
        <w:ind w:left="630" w:hanging="180"/>
        <w:jc w:val="both"/>
        <w:rPr>
          <w:rFonts w:ascii="Times New Roman" w:hAnsi="Times New Roman"/>
        </w:rPr>
      </w:pPr>
      <w:r w:rsidRPr="008834F0">
        <w:rPr>
          <w:rFonts w:ascii="Garamond" w:hAnsi="Garamond"/>
          <w:b/>
          <w:sz w:val="24"/>
          <w:szCs w:val="24"/>
        </w:rPr>
        <w:t>Reducing the cost of doing businesses:</w:t>
      </w:r>
      <w:r w:rsidRPr="008834F0">
        <w:rPr>
          <w:rFonts w:ascii="Garamond" w:hAnsi="Garamond"/>
          <w:sz w:val="24"/>
          <w:szCs w:val="24"/>
        </w:rPr>
        <w:t xml:space="preserve"> Ethiopia lags behind on the ease of doing business indicators and other competitiveness indicators (such as logistics services), which retard not only the formation of new businesses but also limit expansion of existing ones. Thus reducing the cost of entry into the formal sector by improving business environment (e.g. credit access, starting a business, and other services), thus enabling the expansion of small and medium sized enterprises which help stimulate diversification and expansion of the economy.</w:t>
      </w:r>
      <w:r w:rsidRPr="008834F0">
        <w:rPr>
          <w:rFonts w:ascii="Times New Roman" w:hAnsi="Times New Roman"/>
        </w:rPr>
        <w:t xml:space="preserve"> </w:t>
      </w:r>
    </w:p>
    <w:p w:rsidR="002A4063" w:rsidRPr="0066681C" w:rsidRDefault="002A4063" w:rsidP="00C462CD">
      <w:pPr>
        <w:pStyle w:val="ListParagraph"/>
        <w:autoSpaceDE w:val="0"/>
        <w:autoSpaceDN w:val="0"/>
        <w:adjustRightInd w:val="0"/>
        <w:spacing w:after="0" w:line="240" w:lineRule="auto"/>
        <w:ind w:left="634"/>
        <w:jc w:val="both"/>
        <w:rPr>
          <w:rFonts w:ascii="Garamond" w:hAnsi="Garamond"/>
          <w:b/>
          <w:color w:val="000000"/>
          <w:sz w:val="24"/>
          <w:szCs w:val="24"/>
        </w:rPr>
      </w:pPr>
    </w:p>
    <w:p w:rsidR="004137EE" w:rsidRDefault="004137EE" w:rsidP="00E63ADB">
      <w:pPr>
        <w:autoSpaceDE w:val="0"/>
        <w:autoSpaceDN w:val="0"/>
        <w:adjustRightInd w:val="0"/>
        <w:spacing w:after="0" w:line="240" w:lineRule="auto"/>
        <w:jc w:val="both"/>
        <w:rPr>
          <w:rFonts w:ascii="Garamond" w:hAnsi="Garamond"/>
          <w:sz w:val="24"/>
          <w:szCs w:val="24"/>
        </w:rPr>
      </w:pPr>
      <w:r w:rsidRPr="00A179EB">
        <w:rPr>
          <w:rFonts w:ascii="Garamond" w:hAnsi="Garamond"/>
          <w:b/>
          <w:sz w:val="24"/>
          <w:szCs w:val="24"/>
        </w:rPr>
        <w:t>Enhance Public-Private Partnership (PPP)</w:t>
      </w:r>
      <w:r w:rsidRPr="00A179EB">
        <w:rPr>
          <w:rFonts w:ascii="Garamond" w:hAnsi="Garamond"/>
          <w:sz w:val="24"/>
          <w:szCs w:val="24"/>
        </w:rPr>
        <w:t xml:space="preserve">: Public-private partnership can be a source of finance for delivering development goals and targets. Anecdotal evidence indicates </w:t>
      </w:r>
      <w:r>
        <w:rPr>
          <w:rFonts w:ascii="Garamond" w:hAnsi="Garamond"/>
          <w:sz w:val="24"/>
          <w:szCs w:val="24"/>
        </w:rPr>
        <w:t xml:space="preserve">that </w:t>
      </w:r>
      <w:r w:rsidRPr="00A179EB">
        <w:rPr>
          <w:rFonts w:ascii="Garamond" w:hAnsi="Garamond"/>
          <w:sz w:val="24"/>
          <w:szCs w:val="24"/>
        </w:rPr>
        <w:t xml:space="preserve">PPP can provide tremendous opportunities to enhance investments in the key sectors that generate transformational impacts by reducing burden on government and offering alternative for affordable public services that could otherwise be provided by the government. </w:t>
      </w:r>
      <w:r w:rsidRPr="00F92B88">
        <w:rPr>
          <w:rFonts w:ascii="Garamond" w:hAnsi="Garamond"/>
          <w:sz w:val="24"/>
          <w:szCs w:val="24"/>
        </w:rPr>
        <w:t xml:space="preserve">But lack of a standardized PPP operating </w:t>
      </w:r>
      <w:r w:rsidRPr="00F92B88">
        <w:rPr>
          <w:rFonts w:ascii="Garamond" w:hAnsi="Garamond"/>
          <w:sz w:val="24"/>
          <w:szCs w:val="24"/>
        </w:rPr>
        <w:lastRenderedPageBreak/>
        <w:t>procedure was reported as a major limitation in the implementation of PPPs. It is recommended to strengthening PPP through a supportive and national regulatory system and establishing a unit dedicated to PPP at national and possibly at regional levels to guide PPP in systematized and organized way.</w:t>
      </w:r>
      <w:r w:rsidR="000A47FB" w:rsidRPr="000A47FB">
        <w:rPr>
          <w:rFonts w:ascii="Garamond" w:eastAsiaTheme="minorHAnsi" w:hAnsi="Garamond" w:cs="SFUHelvetica"/>
          <w:color w:val="414142"/>
          <w:sz w:val="24"/>
          <w:szCs w:val="24"/>
          <w:lang w:val="en-GB"/>
        </w:rPr>
        <w:t xml:space="preserve"> </w:t>
      </w:r>
      <w:r w:rsidR="002F0150" w:rsidRPr="000A47FB">
        <w:rPr>
          <w:rFonts w:ascii="Garamond" w:eastAsiaTheme="minorHAnsi" w:hAnsi="Garamond" w:cs="SFUHelvetica"/>
          <w:color w:val="414142"/>
          <w:sz w:val="24"/>
          <w:szCs w:val="24"/>
          <w:lang w:val="en-GB"/>
        </w:rPr>
        <w:t>G</w:t>
      </w:r>
      <w:r w:rsidR="002F0150">
        <w:rPr>
          <w:rFonts w:ascii="Garamond" w:eastAsiaTheme="minorHAnsi" w:hAnsi="Garamond" w:cs="SFUHelvetica"/>
          <w:color w:val="414142"/>
          <w:sz w:val="24"/>
          <w:szCs w:val="24"/>
          <w:lang w:val="en-GB"/>
        </w:rPr>
        <w:t xml:space="preserve">overnment </w:t>
      </w:r>
      <w:r w:rsidR="002F0150" w:rsidRPr="000A47FB">
        <w:rPr>
          <w:rFonts w:ascii="Garamond" w:eastAsiaTheme="minorHAnsi" w:hAnsi="Garamond" w:cs="SFUHelvetica"/>
          <w:color w:val="414142"/>
          <w:sz w:val="24"/>
          <w:szCs w:val="24"/>
          <w:lang w:val="en-GB"/>
        </w:rPr>
        <w:t>needs</w:t>
      </w:r>
      <w:r w:rsidR="000A47FB" w:rsidRPr="000A47FB">
        <w:rPr>
          <w:rFonts w:ascii="Garamond" w:eastAsiaTheme="minorHAnsi" w:hAnsi="Garamond" w:cs="SFUHelvetica"/>
          <w:color w:val="414142"/>
          <w:sz w:val="24"/>
          <w:szCs w:val="24"/>
          <w:lang w:val="en-GB"/>
        </w:rPr>
        <w:t xml:space="preserve"> to complete its legal framework for public-private partnerships.</w:t>
      </w:r>
      <w:r w:rsidR="002F0150">
        <w:rPr>
          <w:rFonts w:ascii="Garamond" w:eastAsiaTheme="minorHAnsi" w:hAnsi="Garamond" w:cs="SFUHelvetica"/>
          <w:color w:val="414142"/>
          <w:sz w:val="24"/>
          <w:szCs w:val="24"/>
          <w:lang w:val="en-GB"/>
        </w:rPr>
        <w:t xml:space="preserve"> </w:t>
      </w:r>
      <w:r w:rsidR="00E63ADB">
        <w:rPr>
          <w:rFonts w:ascii="Garamond" w:hAnsi="Garamond"/>
          <w:sz w:val="24"/>
          <w:szCs w:val="24"/>
        </w:rPr>
        <w:t>D</w:t>
      </w:r>
      <w:r w:rsidR="00E63ADB" w:rsidRPr="00E63ADB">
        <w:rPr>
          <w:rFonts w:ascii="Garamond" w:eastAsiaTheme="minorHAnsi" w:hAnsi="Garamond" w:cs="SFUHelvetica"/>
          <w:color w:val="414142"/>
          <w:sz w:val="24"/>
          <w:szCs w:val="24"/>
          <w:lang w:val="en-GB"/>
        </w:rPr>
        <w:t>evelopment partners can provide support on developing the legal framework and helping the responsible agencies develop the technical expertise to design and negotiate PPPs. They could support the development of a central PPP unit, able to provide technical support across government.</w:t>
      </w:r>
      <w:r w:rsidR="00E63ADB">
        <w:rPr>
          <w:rFonts w:ascii="Garamond" w:eastAsiaTheme="minorHAnsi" w:hAnsi="Garamond" w:cs="SFUHelvetica"/>
          <w:color w:val="414142"/>
          <w:sz w:val="24"/>
          <w:szCs w:val="24"/>
          <w:lang w:val="en-GB"/>
        </w:rPr>
        <w:t xml:space="preserve"> </w:t>
      </w:r>
      <w:r w:rsidRPr="00E63ADB">
        <w:rPr>
          <w:rFonts w:ascii="Garamond" w:hAnsi="Garamond"/>
          <w:sz w:val="24"/>
          <w:szCs w:val="24"/>
        </w:rPr>
        <w:t>I</w:t>
      </w:r>
      <w:r w:rsidRPr="00F92B88">
        <w:rPr>
          <w:rFonts w:ascii="Garamond" w:hAnsi="Garamond"/>
          <w:sz w:val="24"/>
          <w:szCs w:val="24"/>
        </w:rPr>
        <w:t>n addition, government and stakeholders need to invest in building capacity of the private sector and government sector offices on PPP with particular attention to the design, management, monitoring, evaluation and review of contractual agreements and other types of public-private modalities.</w:t>
      </w:r>
    </w:p>
    <w:p w:rsidR="00E63ADB" w:rsidRPr="00E63ADB" w:rsidRDefault="00E63ADB" w:rsidP="00E63ADB">
      <w:pPr>
        <w:pStyle w:val="ListParagraph"/>
        <w:rPr>
          <w:rFonts w:ascii="Garamond" w:hAnsi="Garamond"/>
          <w:sz w:val="24"/>
          <w:szCs w:val="24"/>
        </w:rPr>
      </w:pPr>
    </w:p>
    <w:p w:rsidR="004137EE" w:rsidRPr="00A655DF" w:rsidRDefault="004137EE" w:rsidP="00A655DF">
      <w:pPr>
        <w:pStyle w:val="ListParagraph"/>
        <w:numPr>
          <w:ilvl w:val="0"/>
          <w:numId w:val="41"/>
        </w:numPr>
        <w:shd w:val="clear" w:color="auto" w:fill="FFFFFF"/>
        <w:spacing w:after="0" w:line="240" w:lineRule="auto"/>
        <w:jc w:val="both"/>
        <w:rPr>
          <w:rFonts w:ascii="Garamond" w:hAnsi="Garamond"/>
          <w:sz w:val="24"/>
          <w:szCs w:val="24"/>
        </w:rPr>
      </w:pPr>
      <w:r w:rsidRPr="00A655DF">
        <w:rPr>
          <w:rFonts w:ascii="Garamond" w:hAnsi="Garamond"/>
          <w:b/>
          <w:sz w:val="24"/>
          <w:szCs w:val="24"/>
        </w:rPr>
        <w:t xml:space="preserve">Attracting domestic and international private business and finance: </w:t>
      </w:r>
      <w:r w:rsidRPr="00A655DF">
        <w:rPr>
          <w:rFonts w:ascii="Garamond" w:hAnsi="Garamond"/>
          <w:sz w:val="24"/>
          <w:szCs w:val="24"/>
        </w:rPr>
        <w:t>International remittances and foreign direct investment have become important sources of development financing in Ethiopia. Remittances inflow can be enhanced by encouraging other institutions, such as post offices, cooperatives, microfinance institutions, or possibly telecom operators to play</w:t>
      </w:r>
      <w:r w:rsidR="0084496A" w:rsidRPr="00A655DF">
        <w:rPr>
          <w:rFonts w:ascii="Garamond" w:hAnsi="Garamond"/>
          <w:sz w:val="24"/>
          <w:szCs w:val="24"/>
        </w:rPr>
        <w:t xml:space="preserve"> a larger role in money transfer</w:t>
      </w:r>
      <w:r w:rsidRPr="00A655DF">
        <w:rPr>
          <w:rFonts w:ascii="Garamond" w:hAnsi="Garamond"/>
          <w:sz w:val="24"/>
          <w:szCs w:val="24"/>
        </w:rPr>
        <w:t xml:space="preserve"> and opening up bank branches or money transfer agents in areas where there is large concentration of Ethiopian Diaspora, with certain incentives to reduce transfer fees. Likewise, there is also a need to improve business obstacles to attract quality FDI including expansion of special economic zones or specialized industrial parks, streamlined and speedy service procedures, provide fiscal incentive packages, provide more efficient trade logistics and transport services, supply of land mainly through industrial parks approach, trade and customs facilitations, and priority supply of credit and foreign exchange. In particular, fiscal incentives (such as tax exemptions and holidays) need to be </w:t>
      </w:r>
      <w:r w:rsidR="00F90E56" w:rsidRPr="00A655DF">
        <w:rPr>
          <w:rFonts w:ascii="Garamond" w:hAnsi="Garamond"/>
          <w:sz w:val="24"/>
          <w:szCs w:val="24"/>
        </w:rPr>
        <w:t xml:space="preserve">attached to performance and </w:t>
      </w:r>
      <w:r w:rsidRPr="00A655DF">
        <w:rPr>
          <w:rFonts w:ascii="Garamond" w:hAnsi="Garamond"/>
          <w:sz w:val="24"/>
          <w:szCs w:val="24"/>
        </w:rPr>
        <w:t xml:space="preserve">monitored and evaluated on regular basis to ease fiscal burden on the government. </w:t>
      </w:r>
    </w:p>
    <w:p w:rsidR="00746CD5" w:rsidRPr="0006603C" w:rsidRDefault="004137EE" w:rsidP="00A655DF">
      <w:pPr>
        <w:pStyle w:val="ListParagraph"/>
        <w:numPr>
          <w:ilvl w:val="0"/>
          <w:numId w:val="41"/>
        </w:numPr>
        <w:spacing w:after="0" w:line="240" w:lineRule="auto"/>
        <w:jc w:val="both"/>
        <w:rPr>
          <w:rFonts w:ascii="Garamond" w:hAnsi="Garamond"/>
          <w:sz w:val="24"/>
          <w:szCs w:val="24"/>
        </w:rPr>
      </w:pPr>
      <w:r w:rsidRPr="0006603C">
        <w:rPr>
          <w:rFonts w:ascii="Garamond" w:hAnsi="Garamond"/>
          <w:b/>
          <w:sz w:val="24"/>
          <w:szCs w:val="24"/>
        </w:rPr>
        <w:t xml:space="preserve">Maximizing </w:t>
      </w:r>
      <w:r w:rsidR="008F1FBD" w:rsidRPr="0006603C">
        <w:rPr>
          <w:rFonts w:ascii="Garamond" w:hAnsi="Garamond"/>
          <w:b/>
          <w:sz w:val="24"/>
          <w:szCs w:val="24"/>
        </w:rPr>
        <w:t>ODA through e</w:t>
      </w:r>
      <w:r w:rsidRPr="0006603C">
        <w:rPr>
          <w:rFonts w:ascii="Garamond" w:hAnsi="Garamond"/>
          <w:b/>
          <w:sz w:val="24"/>
          <w:szCs w:val="24"/>
        </w:rPr>
        <w:t xml:space="preserve">nhanced cooperation: </w:t>
      </w:r>
      <w:r w:rsidRPr="0006603C">
        <w:rPr>
          <w:rFonts w:ascii="Garamond" w:hAnsi="Garamond"/>
          <w:sz w:val="24"/>
          <w:szCs w:val="24"/>
        </w:rPr>
        <w:t>International finance including official development assistance plays an important role in complementing a</w:t>
      </w:r>
      <w:r w:rsidR="00A655DF">
        <w:rPr>
          <w:rFonts w:ascii="Garamond" w:hAnsi="Garamond"/>
          <w:sz w:val="24"/>
          <w:szCs w:val="24"/>
        </w:rPr>
        <w:t>dditional resources from the pu</w:t>
      </w:r>
      <w:r w:rsidR="00A655DF" w:rsidRPr="0006603C">
        <w:rPr>
          <w:rFonts w:ascii="Garamond" w:hAnsi="Garamond"/>
          <w:sz w:val="24"/>
          <w:szCs w:val="24"/>
        </w:rPr>
        <w:t>blic</w:t>
      </w:r>
      <w:r w:rsidRPr="0006603C">
        <w:rPr>
          <w:rFonts w:ascii="Garamond" w:hAnsi="Garamond"/>
          <w:sz w:val="24"/>
          <w:szCs w:val="24"/>
        </w:rPr>
        <w:t xml:space="preserve"> and private sectors. However, grants and loans tend to be volatile and pro-cyclical, as reflected by gaps between pledges and actual disbursements. </w:t>
      </w:r>
      <w:r w:rsidR="00A655DF">
        <w:rPr>
          <w:rFonts w:ascii="Garamond" w:hAnsi="Garamond"/>
          <w:sz w:val="24"/>
          <w:szCs w:val="24"/>
        </w:rPr>
        <w:t xml:space="preserve">Grant revenue has also been </w:t>
      </w:r>
      <w:r w:rsidR="00983A94">
        <w:rPr>
          <w:rFonts w:ascii="Garamond" w:hAnsi="Garamond"/>
          <w:sz w:val="24"/>
          <w:szCs w:val="24"/>
        </w:rPr>
        <w:t>shr</w:t>
      </w:r>
      <w:r w:rsidR="00983A94" w:rsidRPr="0006603C">
        <w:rPr>
          <w:rFonts w:ascii="Garamond" w:hAnsi="Garamond"/>
          <w:sz w:val="24"/>
          <w:szCs w:val="24"/>
        </w:rPr>
        <w:t>inking</w:t>
      </w:r>
      <w:r w:rsidRPr="0006603C">
        <w:rPr>
          <w:rFonts w:ascii="Garamond" w:hAnsi="Garamond"/>
          <w:sz w:val="24"/>
          <w:szCs w:val="24"/>
        </w:rPr>
        <w:t xml:space="preserve"> due to budget constraints in donor countries, indicating a need for tapping into new finance sources and instruments (e.g. blended finance) to complement domestic sources of financing. Development partners need to honor their Official Development Assistance (ODA) commitments in a timely and adequate manner, scale up their support in terms of capital, technology and capacity building. </w:t>
      </w:r>
      <w:r w:rsidR="008F1FBD" w:rsidRPr="0006603C">
        <w:rPr>
          <w:rFonts w:ascii="Garamond" w:hAnsi="Garamond"/>
          <w:sz w:val="24"/>
          <w:szCs w:val="24"/>
        </w:rPr>
        <w:t>There is a need to improve allocation and disbursement of ODA through better management by MoFEC and line ministries</w:t>
      </w:r>
      <w:r w:rsidR="008F1FBD" w:rsidRPr="0006603C">
        <w:rPr>
          <w:rFonts w:ascii="MyriadPro-Cond" w:hAnsi="MyriadPro-Cond" w:cs="MyriadPro-Cond"/>
          <w:sz w:val="20"/>
          <w:szCs w:val="20"/>
          <w:lang w:val="en-GB"/>
        </w:rPr>
        <w:t>.</w:t>
      </w:r>
      <w:r w:rsidR="008F1FBD" w:rsidRPr="0006603C">
        <w:rPr>
          <w:rFonts w:ascii="Garamond" w:eastAsia="Times New Roman" w:hAnsi="Garamond" w:cs="Times New Roman"/>
          <w:sz w:val="24"/>
          <w:szCs w:val="24"/>
        </w:rPr>
        <w:t xml:space="preserve">Manage the reduction in the time it takes to implement ODA projects through </w:t>
      </w:r>
      <w:r w:rsidR="0006416E" w:rsidRPr="0006603C">
        <w:rPr>
          <w:rFonts w:ascii="Garamond" w:hAnsi="Garamond"/>
          <w:sz w:val="24"/>
          <w:szCs w:val="24"/>
        </w:rPr>
        <w:t>strengthening the monitoring and evaluation capacity of MoFEC, NPC</w:t>
      </w:r>
      <w:r w:rsidR="008F1FBD" w:rsidRPr="0006603C">
        <w:rPr>
          <w:rFonts w:ascii="Garamond" w:eastAsia="Times New Roman" w:hAnsi="Garamond" w:cs="Times New Roman"/>
          <w:sz w:val="24"/>
          <w:szCs w:val="24"/>
        </w:rPr>
        <w:t xml:space="preserve"> and line ministries.</w:t>
      </w:r>
      <w:r w:rsidR="00746CD5" w:rsidRPr="0006603C">
        <w:rPr>
          <w:rFonts w:ascii="Garamond" w:hAnsi="Garamond"/>
          <w:sz w:val="24"/>
          <w:szCs w:val="24"/>
        </w:rPr>
        <w:t xml:space="preserve"> There is also a need to improve effective utilization of external resources</w:t>
      </w:r>
      <w:r w:rsidR="00342FCE">
        <w:rPr>
          <w:rFonts w:ascii="Garamond" w:hAnsi="Garamond"/>
          <w:sz w:val="24"/>
          <w:szCs w:val="24"/>
        </w:rPr>
        <w:t xml:space="preserve"> through </w:t>
      </w:r>
      <w:r w:rsidR="00746CD5" w:rsidRPr="0006603C">
        <w:rPr>
          <w:rFonts w:ascii="Garamond" w:hAnsi="Garamond"/>
          <w:sz w:val="24"/>
          <w:szCs w:val="24"/>
        </w:rPr>
        <w:t>improv</w:t>
      </w:r>
      <w:r w:rsidR="00342FCE">
        <w:rPr>
          <w:rFonts w:ascii="Garamond" w:hAnsi="Garamond"/>
          <w:sz w:val="24"/>
          <w:szCs w:val="24"/>
        </w:rPr>
        <w:t>ing p</w:t>
      </w:r>
      <w:r w:rsidR="00746CD5" w:rsidRPr="0006603C">
        <w:rPr>
          <w:rFonts w:ascii="Garamond" w:hAnsi="Garamond"/>
          <w:sz w:val="24"/>
          <w:szCs w:val="24"/>
        </w:rPr>
        <w:t xml:space="preserve">roject planning, and management capacity to execute projects on time and with the required quality. Strong domestic capacity needs to be built across sectors in project planning, management, monitoring, and contract administration.  </w:t>
      </w:r>
    </w:p>
    <w:p w:rsidR="008F1FBD" w:rsidRDefault="008F1FBD" w:rsidP="008F1FBD">
      <w:pPr>
        <w:pStyle w:val="ListParagraph"/>
        <w:spacing w:after="0" w:line="240" w:lineRule="auto"/>
        <w:ind w:left="630"/>
        <w:jc w:val="both"/>
        <w:rPr>
          <w:rFonts w:ascii="Garamond" w:hAnsi="Garamond"/>
          <w:sz w:val="24"/>
          <w:szCs w:val="24"/>
        </w:rPr>
      </w:pPr>
    </w:p>
    <w:p w:rsidR="00673087" w:rsidRPr="0073152C" w:rsidRDefault="000F28EA" w:rsidP="00A655DF">
      <w:pPr>
        <w:pStyle w:val="ListParagraph"/>
        <w:numPr>
          <w:ilvl w:val="0"/>
          <w:numId w:val="41"/>
        </w:numPr>
        <w:spacing w:after="0" w:line="240" w:lineRule="auto"/>
        <w:jc w:val="both"/>
        <w:rPr>
          <w:rFonts w:ascii="Garamond" w:hAnsi="Garamond"/>
          <w:sz w:val="24"/>
          <w:szCs w:val="24"/>
        </w:rPr>
      </w:pPr>
      <w:r w:rsidRPr="0073152C">
        <w:rPr>
          <w:rFonts w:ascii="Garamond" w:hAnsi="Garamond"/>
          <w:b/>
          <w:sz w:val="24"/>
          <w:szCs w:val="24"/>
        </w:rPr>
        <w:t xml:space="preserve">Enhance South-South </w:t>
      </w:r>
      <w:r w:rsidR="00A55245" w:rsidRPr="0073152C">
        <w:rPr>
          <w:rFonts w:ascii="Garamond" w:hAnsi="Garamond"/>
          <w:b/>
          <w:sz w:val="24"/>
          <w:szCs w:val="24"/>
        </w:rPr>
        <w:t>C</w:t>
      </w:r>
      <w:r w:rsidRPr="0073152C">
        <w:rPr>
          <w:rFonts w:ascii="Garamond" w:hAnsi="Garamond"/>
          <w:b/>
          <w:sz w:val="24"/>
          <w:szCs w:val="24"/>
        </w:rPr>
        <w:t>ooperation</w:t>
      </w:r>
      <w:r w:rsidR="00A55245" w:rsidRPr="0073152C">
        <w:rPr>
          <w:rFonts w:ascii="Garamond" w:hAnsi="Garamond"/>
          <w:b/>
          <w:sz w:val="24"/>
          <w:szCs w:val="24"/>
        </w:rPr>
        <w:t xml:space="preserve"> (SSC)</w:t>
      </w:r>
      <w:r w:rsidRPr="0073152C">
        <w:rPr>
          <w:rFonts w:ascii="Garamond" w:hAnsi="Garamond"/>
          <w:sz w:val="24"/>
          <w:szCs w:val="24"/>
        </w:rPr>
        <w:t>: T</w:t>
      </w:r>
      <w:r w:rsidR="004137EE" w:rsidRPr="0073152C">
        <w:rPr>
          <w:rFonts w:ascii="Garamond" w:hAnsi="Garamond"/>
          <w:sz w:val="24"/>
          <w:szCs w:val="24"/>
        </w:rPr>
        <w:t xml:space="preserve">here is a need to strengthen South-South </w:t>
      </w:r>
      <w:r w:rsidR="0073152C" w:rsidRPr="0073152C">
        <w:rPr>
          <w:rFonts w:ascii="Garamond" w:hAnsi="Garamond"/>
          <w:sz w:val="24"/>
          <w:szCs w:val="24"/>
        </w:rPr>
        <w:t xml:space="preserve">Cooperation through </w:t>
      </w:r>
      <w:r w:rsidR="004137EE" w:rsidRPr="0073152C">
        <w:rPr>
          <w:rFonts w:ascii="Garamond" w:hAnsi="Garamond"/>
          <w:sz w:val="24"/>
          <w:szCs w:val="24"/>
        </w:rPr>
        <w:t xml:space="preserve">bilateral, trilateral and interregional initiatives to support the country’s development programmes. </w:t>
      </w:r>
      <w:r w:rsidR="00A55245" w:rsidRPr="0073152C">
        <w:rPr>
          <w:rFonts w:ascii="Garamond" w:hAnsi="Garamond"/>
          <w:sz w:val="24"/>
          <w:szCs w:val="24"/>
        </w:rPr>
        <w:t xml:space="preserve">Currently, the scope and depth SSC is limited </w:t>
      </w:r>
      <w:r w:rsidR="002A7D07" w:rsidRPr="0073152C">
        <w:rPr>
          <w:rFonts w:ascii="Garamond" w:hAnsi="Garamond"/>
          <w:sz w:val="24"/>
          <w:szCs w:val="24"/>
        </w:rPr>
        <w:t xml:space="preserve">as a large share of SSC is originating from few countries </w:t>
      </w:r>
      <w:r w:rsidR="00A55245" w:rsidRPr="0073152C">
        <w:rPr>
          <w:rFonts w:ascii="Garamond" w:hAnsi="Garamond"/>
          <w:sz w:val="24"/>
          <w:szCs w:val="24"/>
        </w:rPr>
        <w:t>and there is hug</w:t>
      </w:r>
      <w:r w:rsidR="0073152C">
        <w:rPr>
          <w:rFonts w:ascii="Garamond" w:hAnsi="Garamond"/>
          <w:sz w:val="24"/>
          <w:szCs w:val="24"/>
        </w:rPr>
        <w:t xml:space="preserve">e potential to leverage SSC. </w:t>
      </w:r>
      <w:r w:rsidR="00F31031">
        <w:rPr>
          <w:rFonts w:ascii="Garamond" w:hAnsi="Garamond"/>
          <w:sz w:val="24"/>
          <w:szCs w:val="24"/>
        </w:rPr>
        <w:t xml:space="preserve">Efforts are also required to change composition of the financial linkages with SSC through designing projects with smart financing modalities (e.g. blended finance). </w:t>
      </w:r>
      <w:r w:rsidR="003D02D8">
        <w:rPr>
          <w:rFonts w:ascii="Garamond" w:hAnsi="Garamond"/>
          <w:sz w:val="24"/>
          <w:szCs w:val="24"/>
        </w:rPr>
        <w:t xml:space="preserve">There is also a need to diversify the </w:t>
      </w:r>
      <w:r w:rsidR="003D02D8">
        <w:rPr>
          <w:rFonts w:ascii="Garamond" w:hAnsi="Garamond"/>
          <w:sz w:val="24"/>
          <w:szCs w:val="24"/>
        </w:rPr>
        <w:lastRenderedPageBreak/>
        <w:t>quality of SSC by improving the current cooperation modality</w:t>
      </w:r>
      <w:r w:rsidR="00A27C43">
        <w:rPr>
          <w:rFonts w:ascii="Garamond" w:hAnsi="Garamond"/>
          <w:sz w:val="24"/>
          <w:szCs w:val="24"/>
        </w:rPr>
        <w:t>,</w:t>
      </w:r>
      <w:r w:rsidR="00A27C43" w:rsidRPr="00A27C43">
        <w:rPr>
          <w:rFonts w:ascii="Garamond" w:hAnsi="Garamond" w:cs="Arial"/>
          <w:color w:val="333333"/>
          <w:sz w:val="24"/>
          <w:szCs w:val="24"/>
        </w:rPr>
        <w:t xml:space="preserve"> </w:t>
      </w:r>
      <w:r w:rsidR="00A27C43" w:rsidRPr="00960A42">
        <w:rPr>
          <w:rFonts w:ascii="Garamond" w:hAnsi="Garamond" w:cs="Arial"/>
          <w:color w:val="333333"/>
          <w:sz w:val="24"/>
          <w:szCs w:val="24"/>
        </w:rPr>
        <w:t>facilitating regional integration</w:t>
      </w:r>
      <w:r w:rsidR="003D02D8">
        <w:rPr>
          <w:rFonts w:ascii="Garamond" w:hAnsi="Garamond"/>
          <w:sz w:val="24"/>
          <w:szCs w:val="24"/>
        </w:rPr>
        <w:t xml:space="preserve"> and </w:t>
      </w:r>
      <w:r w:rsidR="00A27C43">
        <w:rPr>
          <w:rFonts w:ascii="Garamond" w:hAnsi="Garamond"/>
          <w:sz w:val="24"/>
          <w:szCs w:val="24"/>
        </w:rPr>
        <w:t xml:space="preserve">capturing </w:t>
      </w:r>
      <w:r w:rsidR="003D02D8">
        <w:rPr>
          <w:rFonts w:ascii="Garamond" w:hAnsi="Garamond"/>
          <w:sz w:val="24"/>
          <w:szCs w:val="24"/>
        </w:rPr>
        <w:t xml:space="preserve">more countries through bilateral negations. </w:t>
      </w:r>
      <w:r w:rsidR="0006603C">
        <w:rPr>
          <w:rFonts w:ascii="Garamond" w:hAnsi="Garamond"/>
          <w:sz w:val="24"/>
          <w:szCs w:val="24"/>
        </w:rPr>
        <w:t>Developing a comprehensive database for SSC is require</w:t>
      </w:r>
      <w:r w:rsidR="007204CA">
        <w:rPr>
          <w:rFonts w:ascii="Garamond" w:hAnsi="Garamond"/>
          <w:sz w:val="24"/>
          <w:szCs w:val="24"/>
        </w:rPr>
        <w:t>d</w:t>
      </w:r>
      <w:r w:rsidR="0006603C">
        <w:rPr>
          <w:rFonts w:ascii="Garamond" w:hAnsi="Garamond"/>
          <w:sz w:val="24"/>
          <w:szCs w:val="24"/>
        </w:rPr>
        <w:t xml:space="preserve"> to effectively monitor and disseminate information to stakeholders. </w:t>
      </w:r>
    </w:p>
    <w:p w:rsidR="00DA2136" w:rsidRDefault="00DA2136" w:rsidP="00A655DF">
      <w:pPr>
        <w:pStyle w:val="ListParagraph"/>
        <w:numPr>
          <w:ilvl w:val="0"/>
          <w:numId w:val="41"/>
        </w:numPr>
        <w:spacing w:after="0" w:line="240" w:lineRule="auto"/>
        <w:jc w:val="both"/>
        <w:rPr>
          <w:rFonts w:ascii="Garamond" w:hAnsi="Garamond" w:cs="Arial"/>
          <w:color w:val="333333"/>
          <w:sz w:val="24"/>
          <w:szCs w:val="24"/>
        </w:rPr>
      </w:pPr>
      <w:r w:rsidRPr="00DA2136">
        <w:rPr>
          <w:rFonts w:ascii="Garamond" w:hAnsi="Garamond" w:cs="Arial"/>
          <w:b/>
          <w:color w:val="333333"/>
          <w:sz w:val="24"/>
          <w:szCs w:val="24"/>
        </w:rPr>
        <w:t xml:space="preserve">Climate </w:t>
      </w:r>
      <w:r w:rsidR="00DC5682">
        <w:rPr>
          <w:rFonts w:ascii="Garamond" w:hAnsi="Garamond" w:cs="Arial"/>
          <w:b/>
          <w:color w:val="333333"/>
          <w:sz w:val="24"/>
          <w:szCs w:val="24"/>
        </w:rPr>
        <w:t xml:space="preserve">change </w:t>
      </w:r>
      <w:r w:rsidRPr="00DA2136">
        <w:rPr>
          <w:rFonts w:ascii="Garamond" w:hAnsi="Garamond" w:cs="Arial"/>
          <w:b/>
          <w:color w:val="333333"/>
          <w:sz w:val="24"/>
          <w:szCs w:val="24"/>
        </w:rPr>
        <w:t xml:space="preserve">finance: </w:t>
      </w:r>
      <w:r w:rsidRPr="00DA2136">
        <w:rPr>
          <w:rFonts w:ascii="Garamond" w:hAnsi="Garamond" w:cs="Arial"/>
          <w:color w:val="333333"/>
          <w:sz w:val="24"/>
          <w:szCs w:val="24"/>
        </w:rPr>
        <w:t xml:space="preserve">The resource requirement for realization of addressing the climate change risks and the 2025 vision significantly exceeds the current capacity, which require additional resources to meet the envisaged targets. This requires tapping climate finance through bankable projects which in turn requires building strong local capacity in project preparation and negotiation. Specific </w:t>
      </w:r>
      <w:r>
        <w:rPr>
          <w:rFonts w:ascii="Garamond" w:hAnsi="Garamond" w:cs="Arial"/>
          <w:color w:val="333333"/>
          <w:sz w:val="24"/>
          <w:szCs w:val="24"/>
        </w:rPr>
        <w:t xml:space="preserve">interventions </w:t>
      </w:r>
      <w:r w:rsidRPr="00DA2136">
        <w:rPr>
          <w:rFonts w:ascii="Garamond" w:hAnsi="Garamond" w:cs="Arial"/>
          <w:color w:val="333333"/>
          <w:sz w:val="24"/>
          <w:szCs w:val="24"/>
        </w:rPr>
        <w:t xml:space="preserve">include </w:t>
      </w:r>
      <w:r>
        <w:rPr>
          <w:rFonts w:ascii="Garamond" w:hAnsi="Garamond" w:cs="Arial"/>
          <w:color w:val="333333"/>
          <w:sz w:val="24"/>
          <w:szCs w:val="24"/>
        </w:rPr>
        <w:t xml:space="preserve">support </w:t>
      </w:r>
      <w:r w:rsidRPr="00DA2136">
        <w:rPr>
          <w:rFonts w:ascii="Garamond" w:hAnsi="Garamond" w:cs="Arial"/>
          <w:color w:val="333333"/>
          <w:sz w:val="24"/>
          <w:szCs w:val="24"/>
        </w:rPr>
        <w:t xml:space="preserve">in the establishment project preparation fund within MoFEC, enhance coordination and harmonization of climate-related programmes from a variety of sources (public, private, community and non-governmental organization) to maximize synergies. Support is also required to comprehensively assess CRGE finance and investment needs, establish economy-wide baseline climate change relevant CRGE finance, and identify financing options. </w:t>
      </w:r>
      <w:r w:rsidR="000D4144">
        <w:rPr>
          <w:rFonts w:ascii="Garamond" w:hAnsi="Garamond" w:cs="Arial"/>
          <w:color w:val="333333"/>
          <w:sz w:val="24"/>
          <w:szCs w:val="24"/>
        </w:rPr>
        <w:t xml:space="preserve">In addition, there is a need to develop a climate fiscal framework to track climate related financial flows and uses. Equally important is establishing a comprehensive database within MoFEC for tracking climate finance flows to Ethiopia and its uses.  </w:t>
      </w:r>
    </w:p>
    <w:p w:rsidR="006C24A4" w:rsidRPr="00DA2136" w:rsidRDefault="006C24A4" w:rsidP="006C24A4">
      <w:pPr>
        <w:pStyle w:val="ListParagraph"/>
        <w:spacing w:after="0" w:line="240" w:lineRule="auto"/>
        <w:ind w:left="360"/>
        <w:jc w:val="both"/>
        <w:rPr>
          <w:rFonts w:ascii="Garamond" w:hAnsi="Garamond" w:cs="Arial"/>
          <w:color w:val="333333"/>
          <w:sz w:val="24"/>
          <w:szCs w:val="24"/>
        </w:rPr>
      </w:pPr>
    </w:p>
    <w:p w:rsidR="00C462CD" w:rsidRPr="00752AD4" w:rsidRDefault="004137EE" w:rsidP="00DA2136">
      <w:pPr>
        <w:pStyle w:val="Heading3"/>
        <w:spacing w:before="0" w:line="240" w:lineRule="auto"/>
        <w:ind w:left="360"/>
        <w:rPr>
          <w:rFonts w:ascii="Garamond" w:eastAsia="Calibri" w:hAnsi="Garamond"/>
          <w:b/>
        </w:rPr>
      </w:pPr>
      <w:bookmarkStart w:id="98" w:name="_Toc486782286"/>
      <w:r w:rsidRPr="00752AD4">
        <w:rPr>
          <w:rFonts w:ascii="Garamond" w:hAnsi="Garamond"/>
          <w:b/>
        </w:rPr>
        <w:t>7.</w:t>
      </w:r>
      <w:r w:rsidR="00CC143C">
        <w:rPr>
          <w:rFonts w:ascii="Garamond" w:hAnsi="Garamond"/>
          <w:b/>
        </w:rPr>
        <w:t>2</w:t>
      </w:r>
      <w:r w:rsidR="00752AD4" w:rsidRPr="00752AD4">
        <w:rPr>
          <w:rFonts w:ascii="Garamond" w:hAnsi="Garamond"/>
          <w:b/>
        </w:rPr>
        <w:t>.</w:t>
      </w:r>
      <w:r w:rsidR="00CC143C">
        <w:rPr>
          <w:rFonts w:ascii="Garamond" w:hAnsi="Garamond"/>
          <w:b/>
        </w:rPr>
        <w:t>2</w:t>
      </w:r>
      <w:r w:rsidRPr="00752AD4">
        <w:rPr>
          <w:rFonts w:ascii="Garamond" w:eastAsia="Calibri" w:hAnsi="Garamond"/>
          <w:b/>
        </w:rPr>
        <w:t xml:space="preserve"> </w:t>
      </w:r>
      <w:r w:rsidR="00BE73C8">
        <w:rPr>
          <w:rFonts w:ascii="Garamond" w:eastAsia="Calibri" w:hAnsi="Garamond"/>
          <w:b/>
        </w:rPr>
        <w:t>C</w:t>
      </w:r>
      <w:r w:rsidRPr="00752AD4">
        <w:rPr>
          <w:rFonts w:ascii="Garamond" w:eastAsia="Calibri" w:hAnsi="Garamond"/>
          <w:b/>
        </w:rPr>
        <w:t>ross-cutting issues</w:t>
      </w:r>
      <w:bookmarkEnd w:id="98"/>
    </w:p>
    <w:p w:rsidR="00C462CD" w:rsidRPr="00C462CD" w:rsidRDefault="00C462CD" w:rsidP="00C462CD">
      <w:pPr>
        <w:spacing w:after="0" w:line="240" w:lineRule="auto"/>
        <w:rPr>
          <w:rFonts w:eastAsia="Calibri"/>
        </w:rPr>
      </w:pPr>
    </w:p>
    <w:p w:rsidR="00256B4D" w:rsidRDefault="004137EE" w:rsidP="00C462CD">
      <w:pPr>
        <w:pStyle w:val="ListParagraph"/>
        <w:spacing w:after="0" w:line="240" w:lineRule="auto"/>
        <w:ind w:left="420"/>
        <w:jc w:val="both"/>
        <w:rPr>
          <w:rFonts w:ascii="Garamond" w:eastAsia="Calibri" w:hAnsi="Garamond" w:cs="Times-Roman"/>
          <w:kern w:val="28"/>
          <w:sz w:val="24"/>
          <w:szCs w:val="24"/>
        </w:rPr>
      </w:pPr>
      <w:r>
        <w:rPr>
          <w:rFonts w:ascii="Garamond" w:hAnsi="Garamond" w:cs="Arial"/>
          <w:b/>
          <w:color w:val="333333"/>
          <w:sz w:val="24"/>
          <w:szCs w:val="24"/>
        </w:rPr>
        <w:t>Strengthening capacity building</w:t>
      </w:r>
      <w:r w:rsidRPr="002262F0">
        <w:rPr>
          <w:rFonts w:ascii="Garamond" w:hAnsi="Garamond"/>
          <w:sz w:val="24"/>
          <w:szCs w:val="24"/>
        </w:rPr>
        <w:t xml:space="preserve">: Capacity </w:t>
      </w:r>
      <w:r>
        <w:rPr>
          <w:rFonts w:ascii="Garamond" w:hAnsi="Garamond"/>
          <w:sz w:val="24"/>
          <w:szCs w:val="24"/>
        </w:rPr>
        <w:t xml:space="preserve">challenges at different levels remain a bottleneck for effective implementation of development programmes in the country. Capacity </w:t>
      </w:r>
      <w:r w:rsidRPr="002262F0">
        <w:rPr>
          <w:rFonts w:ascii="Garamond" w:hAnsi="Garamond"/>
          <w:sz w:val="24"/>
          <w:szCs w:val="24"/>
        </w:rPr>
        <w:t xml:space="preserve">development needs to focus on </w:t>
      </w:r>
      <w:r>
        <w:rPr>
          <w:rFonts w:ascii="Garamond" w:hAnsi="Garamond"/>
          <w:sz w:val="24"/>
          <w:szCs w:val="24"/>
        </w:rPr>
        <w:t xml:space="preserve">institutional building </w:t>
      </w:r>
      <w:r w:rsidRPr="002262F0">
        <w:rPr>
          <w:rFonts w:ascii="Garamond" w:hAnsi="Garamond"/>
          <w:sz w:val="24"/>
          <w:szCs w:val="24"/>
        </w:rPr>
        <w:t>and human development</w:t>
      </w:r>
      <w:r w:rsidRPr="000A3EEF">
        <w:rPr>
          <w:rFonts w:ascii="Garamond" w:hAnsi="Garamond" w:cs="Arial"/>
          <w:color w:val="333333"/>
          <w:sz w:val="24"/>
          <w:szCs w:val="24"/>
        </w:rPr>
        <w:t xml:space="preserve"> </w:t>
      </w:r>
      <w:r>
        <w:rPr>
          <w:rFonts w:ascii="Garamond" w:hAnsi="Garamond" w:cs="Arial"/>
          <w:color w:val="333333"/>
          <w:sz w:val="24"/>
          <w:szCs w:val="24"/>
        </w:rPr>
        <w:t>across all levels, especially in public institutions</w:t>
      </w:r>
      <w:r w:rsidRPr="002262F0">
        <w:rPr>
          <w:rFonts w:ascii="Garamond" w:hAnsi="Garamond"/>
          <w:sz w:val="24"/>
          <w:szCs w:val="24"/>
        </w:rPr>
        <w:t xml:space="preserve">. </w:t>
      </w:r>
      <w:r>
        <w:rPr>
          <w:rFonts w:ascii="Garamond" w:hAnsi="Garamond"/>
          <w:sz w:val="24"/>
          <w:szCs w:val="24"/>
        </w:rPr>
        <w:t>This requires minimizing bad governance through capacity building with focus on land administration, tax administration, government finance and procurement, trade licensing and registration as well as improv</w:t>
      </w:r>
      <w:r w:rsidR="00A93B1E">
        <w:rPr>
          <w:rFonts w:ascii="Garamond" w:hAnsi="Garamond"/>
          <w:sz w:val="24"/>
          <w:szCs w:val="24"/>
        </w:rPr>
        <w:t>ing</w:t>
      </w:r>
      <w:r>
        <w:rPr>
          <w:rFonts w:ascii="Garamond" w:hAnsi="Garamond"/>
          <w:sz w:val="24"/>
          <w:szCs w:val="24"/>
        </w:rPr>
        <w:t xml:space="preserve"> the justice system. </w:t>
      </w:r>
      <w:r>
        <w:rPr>
          <w:rFonts w:ascii="Garamond" w:eastAsia="Calibri" w:hAnsi="Garamond" w:cs="Times-Roman"/>
          <w:kern w:val="28"/>
          <w:sz w:val="24"/>
          <w:szCs w:val="24"/>
        </w:rPr>
        <w:t>At institutional level, t</w:t>
      </w:r>
      <w:r w:rsidRPr="002262F0">
        <w:rPr>
          <w:rFonts w:ascii="Garamond" w:hAnsi="Garamond" w:cs="Garamond"/>
          <w:kern w:val="28"/>
          <w:sz w:val="24"/>
          <w:szCs w:val="24"/>
        </w:rPr>
        <w:t xml:space="preserve">here is a need to </w:t>
      </w:r>
      <w:r>
        <w:rPr>
          <w:rFonts w:ascii="Garamond" w:hAnsi="Garamond" w:cs="Garamond"/>
          <w:kern w:val="28"/>
          <w:sz w:val="24"/>
          <w:szCs w:val="24"/>
        </w:rPr>
        <w:t xml:space="preserve">establish a well thought, forward looking and shared systems to accommodate current and future developments. </w:t>
      </w:r>
      <w:r w:rsidR="006D1729">
        <w:rPr>
          <w:rFonts w:ascii="Garamond" w:hAnsi="Garamond" w:cs="Garamond"/>
          <w:kern w:val="28"/>
          <w:sz w:val="24"/>
          <w:szCs w:val="24"/>
        </w:rPr>
        <w:t>This requires s</w:t>
      </w:r>
      <w:r w:rsidRPr="002262F0">
        <w:rPr>
          <w:rFonts w:ascii="Garamond" w:hAnsi="Garamond" w:cs="Garamond"/>
          <w:kern w:val="28"/>
          <w:sz w:val="24"/>
          <w:szCs w:val="24"/>
        </w:rPr>
        <w:t>trengthen</w:t>
      </w:r>
      <w:r w:rsidR="006D1729">
        <w:rPr>
          <w:rFonts w:ascii="Garamond" w:hAnsi="Garamond" w:cs="Garamond"/>
          <w:kern w:val="28"/>
          <w:sz w:val="24"/>
          <w:szCs w:val="24"/>
        </w:rPr>
        <w:t>ing</w:t>
      </w:r>
      <w:r w:rsidRPr="002262F0">
        <w:rPr>
          <w:rFonts w:ascii="Garamond" w:hAnsi="Garamond" w:cs="Garamond"/>
          <w:kern w:val="28"/>
          <w:sz w:val="24"/>
          <w:szCs w:val="24"/>
        </w:rPr>
        <w:t xml:space="preserve"> a robust monitoring and evaluation (M&amp;E) system at all levels </w:t>
      </w:r>
      <w:r>
        <w:rPr>
          <w:rFonts w:ascii="Garamond" w:hAnsi="Garamond" w:cs="Garamond"/>
          <w:kern w:val="28"/>
          <w:sz w:val="24"/>
          <w:szCs w:val="24"/>
        </w:rPr>
        <w:t xml:space="preserve">(e.g. establishing a function M&amp;E unit and </w:t>
      </w:r>
      <w:r w:rsidRPr="002262F0">
        <w:rPr>
          <w:rFonts w:ascii="Garamond" w:hAnsi="Garamond" w:cs="Garamond"/>
          <w:kern w:val="28"/>
          <w:sz w:val="24"/>
          <w:szCs w:val="24"/>
        </w:rPr>
        <w:t>d</w:t>
      </w:r>
      <w:r w:rsidRPr="002262F0">
        <w:rPr>
          <w:rFonts w:ascii="Garamond" w:eastAsia="Calibri" w:hAnsi="Garamond" w:cs="Times-Roman"/>
          <w:kern w:val="28"/>
          <w:sz w:val="24"/>
          <w:szCs w:val="24"/>
        </w:rPr>
        <w:t>eveloping monitoring and evaluation policy and guidelines</w:t>
      </w:r>
      <w:r>
        <w:rPr>
          <w:rFonts w:ascii="Garamond" w:eastAsia="Calibri" w:hAnsi="Garamond" w:cs="Times-Roman"/>
          <w:kern w:val="28"/>
          <w:sz w:val="24"/>
          <w:szCs w:val="24"/>
        </w:rPr>
        <w:t>)</w:t>
      </w:r>
      <w:r w:rsidR="00256B4D">
        <w:rPr>
          <w:rFonts w:ascii="Garamond" w:eastAsia="Calibri" w:hAnsi="Garamond" w:cs="Times-Roman"/>
          <w:kern w:val="28"/>
          <w:sz w:val="24"/>
          <w:szCs w:val="24"/>
        </w:rPr>
        <w:t xml:space="preserve">. While there is an M&amp;E framework for physical activities in GTP-II, there is no M&amp;E for tracking financial targets under GTP-II, indicating the need for developing financial M&amp;E and ensure its alignment with national development plan.  </w:t>
      </w:r>
    </w:p>
    <w:p w:rsidR="00256B4D" w:rsidRDefault="00256B4D" w:rsidP="00C462CD">
      <w:pPr>
        <w:pStyle w:val="ListParagraph"/>
        <w:spacing w:after="0" w:line="240" w:lineRule="auto"/>
        <w:ind w:left="420"/>
        <w:jc w:val="both"/>
        <w:rPr>
          <w:rFonts w:ascii="Garamond" w:eastAsia="Calibri" w:hAnsi="Garamond" w:cs="Times-Roman"/>
          <w:kern w:val="28"/>
          <w:sz w:val="24"/>
          <w:szCs w:val="24"/>
        </w:rPr>
      </w:pPr>
    </w:p>
    <w:p w:rsidR="004137EE" w:rsidRDefault="00256B4D" w:rsidP="00C462CD">
      <w:pPr>
        <w:pStyle w:val="ListParagraph"/>
        <w:spacing w:after="0" w:line="240" w:lineRule="auto"/>
        <w:ind w:left="420"/>
        <w:jc w:val="both"/>
        <w:rPr>
          <w:rFonts w:ascii="Garamond" w:eastAsia="Calibri" w:hAnsi="Garamond" w:cs="Times-Roman"/>
          <w:kern w:val="28"/>
          <w:sz w:val="24"/>
          <w:szCs w:val="24"/>
        </w:rPr>
      </w:pPr>
      <w:r>
        <w:rPr>
          <w:rFonts w:ascii="Garamond" w:eastAsia="Calibri" w:hAnsi="Garamond" w:cs="Times-Roman"/>
          <w:kern w:val="28"/>
          <w:sz w:val="24"/>
          <w:szCs w:val="24"/>
        </w:rPr>
        <w:t xml:space="preserve">There is also a need to beef up the </w:t>
      </w:r>
      <w:r w:rsidR="00913A5E">
        <w:rPr>
          <w:rFonts w:ascii="Garamond" w:eastAsia="Calibri" w:hAnsi="Garamond" w:cs="Times-Roman"/>
          <w:kern w:val="28"/>
          <w:sz w:val="24"/>
          <w:szCs w:val="24"/>
        </w:rPr>
        <w:t xml:space="preserve">enforcement capacity through appropriate infrastructure (e.g. </w:t>
      </w:r>
      <w:r>
        <w:rPr>
          <w:rFonts w:ascii="Garamond" w:eastAsia="Calibri" w:hAnsi="Garamond" w:cs="Times-Roman"/>
          <w:kern w:val="28"/>
          <w:sz w:val="24"/>
          <w:szCs w:val="24"/>
        </w:rPr>
        <w:t>enhance ERCA’s</w:t>
      </w:r>
      <w:r w:rsidR="00913A5E">
        <w:rPr>
          <w:rFonts w:ascii="Garamond" w:eastAsia="Calibri" w:hAnsi="Garamond" w:cs="Times-Roman"/>
          <w:kern w:val="28"/>
          <w:sz w:val="24"/>
          <w:szCs w:val="24"/>
        </w:rPr>
        <w:t xml:space="preserve"> enforcement capacity to better detect international </w:t>
      </w:r>
      <w:r w:rsidR="003F550A">
        <w:rPr>
          <w:rFonts w:ascii="Garamond" w:eastAsia="Calibri" w:hAnsi="Garamond" w:cs="Times-Roman"/>
          <w:kern w:val="28"/>
          <w:sz w:val="24"/>
          <w:szCs w:val="24"/>
        </w:rPr>
        <w:t xml:space="preserve">trade </w:t>
      </w:r>
      <w:r w:rsidR="00913A5E">
        <w:rPr>
          <w:rFonts w:ascii="Garamond" w:eastAsia="Calibri" w:hAnsi="Garamond" w:cs="Times-Roman"/>
          <w:kern w:val="28"/>
          <w:sz w:val="24"/>
          <w:szCs w:val="24"/>
        </w:rPr>
        <w:t xml:space="preserve">misinvoicing), </w:t>
      </w:r>
      <w:r w:rsidR="004137EE">
        <w:rPr>
          <w:rFonts w:ascii="Garamond" w:eastAsia="Calibri" w:hAnsi="Garamond" w:cs="Times-Roman"/>
          <w:kern w:val="28"/>
          <w:sz w:val="24"/>
          <w:szCs w:val="24"/>
        </w:rPr>
        <w:t xml:space="preserve">and </w:t>
      </w:r>
      <w:r w:rsidR="004137EE" w:rsidRPr="000A3EEF">
        <w:rPr>
          <w:rFonts w:ascii="Garamond" w:hAnsi="Garamond" w:cs="Arial"/>
          <w:color w:val="333333"/>
          <w:sz w:val="24"/>
          <w:szCs w:val="24"/>
        </w:rPr>
        <w:t xml:space="preserve">develop </w:t>
      </w:r>
      <w:r w:rsidR="004137EE">
        <w:rPr>
          <w:rFonts w:ascii="Garamond" w:hAnsi="Garamond" w:cs="Arial"/>
          <w:color w:val="333333"/>
          <w:sz w:val="24"/>
          <w:szCs w:val="24"/>
        </w:rPr>
        <w:t xml:space="preserve">a </w:t>
      </w:r>
      <w:r w:rsidR="004137EE" w:rsidRPr="000A3EEF">
        <w:rPr>
          <w:rFonts w:ascii="Garamond" w:hAnsi="Garamond" w:cs="Arial"/>
          <w:color w:val="333333"/>
          <w:sz w:val="24"/>
          <w:szCs w:val="24"/>
        </w:rPr>
        <w:t>comprehensive management information system</w:t>
      </w:r>
      <w:r w:rsidR="004137EE">
        <w:rPr>
          <w:rFonts w:ascii="Garamond" w:hAnsi="Garamond" w:cs="Arial"/>
          <w:color w:val="333333"/>
          <w:sz w:val="24"/>
          <w:szCs w:val="24"/>
        </w:rPr>
        <w:t xml:space="preserve"> including strengthening </w:t>
      </w:r>
      <w:r w:rsidR="004137EE" w:rsidRPr="000A3EEF">
        <w:rPr>
          <w:rFonts w:ascii="Garamond" w:hAnsi="Garamond" w:cs="Arial"/>
          <w:color w:val="333333"/>
          <w:sz w:val="24"/>
          <w:szCs w:val="24"/>
        </w:rPr>
        <w:t>the statistical system</w:t>
      </w:r>
      <w:r w:rsidR="004137EE">
        <w:rPr>
          <w:rFonts w:ascii="Garamond" w:hAnsi="Garamond" w:cs="Arial"/>
          <w:color w:val="333333"/>
          <w:sz w:val="24"/>
          <w:szCs w:val="24"/>
        </w:rPr>
        <w:t xml:space="preserve">. </w:t>
      </w:r>
      <w:r w:rsidR="004137EE">
        <w:rPr>
          <w:rFonts w:ascii="Garamond" w:eastAsia="Calibri" w:hAnsi="Garamond" w:cs="Times-Roman"/>
          <w:kern w:val="28"/>
          <w:sz w:val="24"/>
          <w:szCs w:val="24"/>
        </w:rPr>
        <w:t xml:space="preserve">Strong institutions and systems need to be supported by a comprehensive human development programme through on-job training, short-term and </w:t>
      </w:r>
      <w:r>
        <w:rPr>
          <w:rFonts w:ascii="Garamond" w:eastAsia="Calibri" w:hAnsi="Garamond" w:cs="Times-Roman"/>
          <w:kern w:val="28"/>
          <w:sz w:val="24"/>
          <w:szCs w:val="24"/>
        </w:rPr>
        <w:t xml:space="preserve">long-term </w:t>
      </w:r>
      <w:r w:rsidR="004137EE">
        <w:rPr>
          <w:rFonts w:ascii="Garamond" w:eastAsia="Calibri" w:hAnsi="Garamond" w:cs="Times-Roman"/>
          <w:kern w:val="28"/>
          <w:sz w:val="24"/>
          <w:szCs w:val="24"/>
        </w:rPr>
        <w:t xml:space="preserve">training. This requires interfacing public institutions with higher education, TVETs and research institutes.  </w:t>
      </w:r>
    </w:p>
    <w:p w:rsidR="00256B4D" w:rsidRDefault="00256B4D" w:rsidP="00C462CD">
      <w:pPr>
        <w:pStyle w:val="ListParagraph"/>
        <w:spacing w:after="0" w:line="240" w:lineRule="auto"/>
        <w:ind w:left="420"/>
        <w:jc w:val="both"/>
        <w:rPr>
          <w:rFonts w:ascii="Garamond" w:eastAsia="Calibri" w:hAnsi="Garamond" w:cs="Times-Roman"/>
          <w:kern w:val="28"/>
          <w:sz w:val="24"/>
          <w:szCs w:val="24"/>
        </w:rPr>
      </w:pPr>
    </w:p>
    <w:p w:rsidR="004137EE" w:rsidRDefault="004137EE" w:rsidP="00C462CD">
      <w:pPr>
        <w:shd w:val="clear" w:color="auto" w:fill="FFFFFF"/>
        <w:spacing w:after="0" w:line="240" w:lineRule="auto"/>
        <w:ind w:left="450" w:hanging="90"/>
        <w:jc w:val="both"/>
        <w:rPr>
          <w:rFonts w:ascii="Garamond" w:eastAsia="Calibri" w:hAnsi="Garamond" w:cs="Times-Roman"/>
          <w:kern w:val="28"/>
          <w:sz w:val="24"/>
          <w:szCs w:val="24"/>
        </w:rPr>
      </w:pPr>
      <w:r>
        <w:rPr>
          <w:rFonts w:ascii="Garamond" w:hAnsi="Garamond" w:cs="Arial"/>
          <w:b/>
          <w:color w:val="333333"/>
          <w:sz w:val="24"/>
          <w:szCs w:val="24"/>
        </w:rPr>
        <w:t xml:space="preserve">Enhance coordination mechanism: </w:t>
      </w:r>
      <w:r w:rsidR="00F52335">
        <w:rPr>
          <w:rFonts w:ascii="Garamond" w:eastAsia="Calibri" w:hAnsi="Garamond" w:cs="Times-Roman"/>
          <w:kern w:val="28"/>
          <w:sz w:val="24"/>
          <w:szCs w:val="24"/>
        </w:rPr>
        <w:t>T</w:t>
      </w:r>
      <w:r w:rsidRPr="000D790C">
        <w:rPr>
          <w:rFonts w:ascii="Garamond" w:eastAsia="Calibri" w:hAnsi="Garamond" w:cs="Times-Roman"/>
          <w:kern w:val="28"/>
          <w:sz w:val="24"/>
          <w:szCs w:val="24"/>
        </w:rPr>
        <w:t>here is a need to strengthen i</w:t>
      </w:r>
      <w:r w:rsidR="0015536C">
        <w:rPr>
          <w:rFonts w:ascii="Garamond" w:eastAsia="Calibri" w:hAnsi="Garamond" w:cs="Times-Roman"/>
          <w:kern w:val="28"/>
          <w:sz w:val="24"/>
          <w:szCs w:val="24"/>
        </w:rPr>
        <w:t>nter-sector policy coordination through providing</w:t>
      </w:r>
      <w:r w:rsidRPr="000D790C">
        <w:rPr>
          <w:rFonts w:ascii="Garamond" w:eastAsia="Calibri" w:hAnsi="Garamond" w:cs="Times-Roman"/>
          <w:kern w:val="28"/>
          <w:sz w:val="24"/>
          <w:szCs w:val="24"/>
        </w:rPr>
        <w:t xml:space="preserve"> policy and legislative guidance for effective implementation, monitoring, evaluation and reporting. In particular, </w:t>
      </w:r>
      <w:r w:rsidR="00800E45">
        <w:rPr>
          <w:rFonts w:ascii="Garamond" w:eastAsia="Calibri" w:hAnsi="Garamond" w:cs="Times-Roman"/>
          <w:kern w:val="28"/>
          <w:sz w:val="24"/>
          <w:szCs w:val="24"/>
        </w:rPr>
        <w:t xml:space="preserve">a </w:t>
      </w:r>
      <w:r w:rsidRPr="000D790C">
        <w:rPr>
          <w:rFonts w:ascii="Garamond" w:eastAsia="Calibri" w:hAnsi="Garamond" w:cs="Times-Roman"/>
          <w:kern w:val="28"/>
          <w:sz w:val="24"/>
          <w:szCs w:val="24"/>
        </w:rPr>
        <w:t>strong coordination architecture is crucial to harmonize different development programmes</w:t>
      </w:r>
      <w:r w:rsidR="00800E45">
        <w:rPr>
          <w:rFonts w:ascii="Garamond" w:eastAsia="Calibri" w:hAnsi="Garamond" w:cs="Times-Roman"/>
          <w:kern w:val="28"/>
          <w:sz w:val="24"/>
          <w:szCs w:val="24"/>
        </w:rPr>
        <w:t xml:space="preserve">, </w:t>
      </w:r>
      <w:r w:rsidRPr="000D790C">
        <w:rPr>
          <w:rFonts w:ascii="Garamond" w:eastAsia="Calibri" w:hAnsi="Garamond" w:cs="Times-Roman"/>
          <w:kern w:val="28"/>
          <w:sz w:val="24"/>
          <w:szCs w:val="24"/>
        </w:rPr>
        <w:t xml:space="preserve">reduce duplication of efforts and enhance synergies across programmes. The current a three level dialogue Architecture between the government of Ethiopia and development partners can serve an entry point for enhancing coordination among development partners, sectors and the government. In this regard, </w:t>
      </w:r>
      <w:r w:rsidR="00A93B1E" w:rsidRPr="000D790C">
        <w:rPr>
          <w:rFonts w:ascii="Garamond" w:eastAsia="Calibri" w:hAnsi="Garamond" w:cs="Times-Roman"/>
          <w:kern w:val="28"/>
          <w:sz w:val="24"/>
          <w:szCs w:val="24"/>
        </w:rPr>
        <w:t xml:space="preserve">strong </w:t>
      </w:r>
      <w:r w:rsidRPr="000D790C">
        <w:rPr>
          <w:rFonts w:ascii="Garamond" w:eastAsia="Calibri" w:hAnsi="Garamond" w:cs="Times-Roman"/>
          <w:kern w:val="28"/>
          <w:sz w:val="24"/>
          <w:szCs w:val="24"/>
        </w:rPr>
        <w:t>monitoring and evaluation system shall be in place at all levels</w:t>
      </w:r>
      <w:r w:rsidR="00A93B1E" w:rsidRPr="000D790C">
        <w:rPr>
          <w:rFonts w:ascii="Garamond" w:eastAsia="Calibri" w:hAnsi="Garamond" w:cs="Times-Roman"/>
          <w:kern w:val="28"/>
          <w:sz w:val="24"/>
          <w:szCs w:val="24"/>
        </w:rPr>
        <w:t xml:space="preserve"> to enhance coordination and </w:t>
      </w:r>
      <w:r w:rsidR="00A93B1E" w:rsidRPr="000D790C">
        <w:rPr>
          <w:rFonts w:ascii="Garamond" w:eastAsia="Calibri" w:hAnsi="Garamond" w:cs="Times-Roman"/>
          <w:kern w:val="28"/>
          <w:sz w:val="24"/>
          <w:szCs w:val="24"/>
        </w:rPr>
        <w:lastRenderedPageBreak/>
        <w:t>alignment of programmes</w:t>
      </w:r>
      <w:r w:rsidR="0088147B">
        <w:rPr>
          <w:rFonts w:ascii="Garamond" w:eastAsia="Calibri" w:hAnsi="Garamond" w:cs="Times-Roman"/>
          <w:kern w:val="28"/>
          <w:sz w:val="24"/>
          <w:szCs w:val="24"/>
        </w:rPr>
        <w:t xml:space="preserve">, improve </w:t>
      </w:r>
      <w:r w:rsidR="0088147B" w:rsidRPr="0088147B">
        <w:rPr>
          <w:rFonts w:ascii="Garamond" w:eastAsia="Calibri" w:hAnsi="Garamond" w:cs="Times-Roman"/>
          <w:kern w:val="28"/>
          <w:sz w:val="24"/>
          <w:szCs w:val="24"/>
        </w:rPr>
        <w:t>accountability</w:t>
      </w:r>
      <w:r w:rsidR="0088147B">
        <w:rPr>
          <w:rFonts w:ascii="Garamond" w:eastAsia="Calibri" w:hAnsi="Garamond" w:cs="Times-Roman"/>
          <w:kern w:val="28"/>
          <w:sz w:val="24"/>
          <w:szCs w:val="24"/>
        </w:rPr>
        <w:t>, and</w:t>
      </w:r>
      <w:r w:rsidR="0088147B" w:rsidRPr="0088147B">
        <w:rPr>
          <w:rFonts w:ascii="Garamond" w:eastAsia="Calibri" w:hAnsi="Garamond" w:cs="Times-Roman"/>
          <w:kern w:val="28"/>
          <w:sz w:val="24"/>
          <w:szCs w:val="24"/>
        </w:rPr>
        <w:t xml:space="preserve"> to inform policy</w:t>
      </w:r>
      <w:r w:rsidR="0088147B">
        <w:rPr>
          <w:rFonts w:ascii="Garamond" w:eastAsia="Calibri" w:hAnsi="Garamond" w:cs="Times-Roman"/>
          <w:kern w:val="28"/>
          <w:sz w:val="24"/>
          <w:szCs w:val="24"/>
        </w:rPr>
        <w:t>,</w:t>
      </w:r>
      <w:r w:rsidR="0088147B" w:rsidRPr="0088147B">
        <w:rPr>
          <w:rFonts w:ascii="Garamond" w:eastAsia="Calibri" w:hAnsi="Garamond" w:cs="Times-Roman"/>
          <w:kern w:val="28"/>
          <w:sz w:val="24"/>
          <w:szCs w:val="24"/>
        </w:rPr>
        <w:t xml:space="preserve"> planning, and programme development</w:t>
      </w:r>
      <w:r w:rsidR="0088147B">
        <w:rPr>
          <w:rFonts w:ascii="Garamond" w:eastAsia="Calibri" w:hAnsi="Garamond" w:cs="Times-Roman"/>
          <w:kern w:val="28"/>
          <w:sz w:val="24"/>
          <w:szCs w:val="24"/>
        </w:rPr>
        <w:t xml:space="preserve"> as well as </w:t>
      </w:r>
      <w:r w:rsidR="0088147B" w:rsidRPr="0088147B">
        <w:rPr>
          <w:rFonts w:ascii="Garamond" w:eastAsia="Calibri" w:hAnsi="Garamond" w:cs="Times-Roman"/>
          <w:kern w:val="28"/>
          <w:sz w:val="24"/>
          <w:szCs w:val="24"/>
        </w:rPr>
        <w:t>budgeting decisions</w:t>
      </w:r>
      <w:r w:rsidR="0088147B">
        <w:rPr>
          <w:rFonts w:ascii="Garamond" w:eastAsia="Calibri" w:hAnsi="Garamond" w:cs="Times-Roman"/>
          <w:kern w:val="28"/>
          <w:sz w:val="24"/>
          <w:szCs w:val="24"/>
        </w:rPr>
        <w:t xml:space="preserve">. </w:t>
      </w:r>
      <w:r w:rsidRPr="000D790C">
        <w:rPr>
          <w:rFonts w:ascii="Garamond" w:eastAsia="Calibri" w:hAnsi="Garamond" w:cs="Times-Roman"/>
          <w:kern w:val="28"/>
          <w:sz w:val="24"/>
          <w:szCs w:val="24"/>
        </w:rPr>
        <w:t>In addition, efforts should be made to strengthen statistical capacity and improve the quality and timeliness of statistical data.</w:t>
      </w:r>
    </w:p>
    <w:p w:rsidR="00256B4D" w:rsidRPr="000D790C" w:rsidRDefault="00256B4D" w:rsidP="00C462CD">
      <w:pPr>
        <w:shd w:val="clear" w:color="auto" w:fill="FFFFFF"/>
        <w:spacing w:after="0" w:line="240" w:lineRule="auto"/>
        <w:ind w:left="450" w:hanging="90"/>
        <w:jc w:val="both"/>
        <w:rPr>
          <w:rFonts w:ascii="Garamond" w:eastAsia="Calibri" w:hAnsi="Garamond" w:cs="Times-Roman"/>
          <w:kern w:val="28"/>
          <w:sz w:val="24"/>
          <w:szCs w:val="24"/>
        </w:rPr>
      </w:pPr>
    </w:p>
    <w:p w:rsidR="004137EE" w:rsidRPr="000E1F7D" w:rsidRDefault="004137EE" w:rsidP="00A46D72">
      <w:pPr>
        <w:pStyle w:val="CommentText"/>
        <w:ind w:left="360"/>
        <w:jc w:val="both"/>
        <w:rPr>
          <w:rFonts w:ascii="Garamond" w:hAnsi="Garamond" w:cs="Arial"/>
          <w:color w:val="333333"/>
          <w:sz w:val="24"/>
          <w:szCs w:val="24"/>
        </w:rPr>
      </w:pPr>
      <w:r w:rsidRPr="000E1F7D">
        <w:rPr>
          <w:rFonts w:ascii="Garamond" w:hAnsi="Garamond" w:cs="Arial"/>
          <w:b/>
          <w:color w:val="333333"/>
          <w:sz w:val="24"/>
          <w:szCs w:val="24"/>
        </w:rPr>
        <w:t>Improve inclusiveness and social services:</w:t>
      </w:r>
      <w:r w:rsidRPr="000E1F7D">
        <w:rPr>
          <w:rFonts w:ascii="Garamond" w:hAnsi="Garamond" w:cs="Arial"/>
          <w:color w:val="333333"/>
          <w:sz w:val="24"/>
          <w:szCs w:val="24"/>
        </w:rPr>
        <w:t xml:space="preserve"> Improvements in public service delivery system, including employment, education and health care, and ensure equal access to basic public services continue to be the primary focus of the country. </w:t>
      </w:r>
      <w:r w:rsidR="00200791">
        <w:rPr>
          <w:rFonts w:ascii="Garamond" w:hAnsi="Garamond" w:cs="Arial"/>
          <w:color w:val="333333"/>
          <w:sz w:val="24"/>
          <w:szCs w:val="24"/>
        </w:rPr>
        <w:t xml:space="preserve">In particular, promoting SMEs is crucial to ensure inclusiveness, especially as a means of employment creation for the growing labur force. </w:t>
      </w:r>
      <w:r w:rsidR="00B8248F" w:rsidRPr="00856823">
        <w:rPr>
          <w:rFonts w:ascii="Garamond" w:hAnsi="Garamond"/>
          <w:sz w:val="24"/>
          <w:szCs w:val="24"/>
        </w:rPr>
        <w:t xml:space="preserve">The potential for </w:t>
      </w:r>
      <w:r w:rsidR="00B8248F">
        <w:rPr>
          <w:rFonts w:ascii="Garamond" w:hAnsi="Garamond"/>
          <w:sz w:val="24"/>
          <w:szCs w:val="24"/>
        </w:rPr>
        <w:t>S</w:t>
      </w:r>
      <w:r w:rsidR="00B8248F" w:rsidRPr="00856823">
        <w:rPr>
          <w:rFonts w:ascii="Garamond" w:hAnsi="Garamond"/>
          <w:sz w:val="24"/>
          <w:szCs w:val="24"/>
        </w:rPr>
        <w:t>MEs for creating more jobs will be severely compromised</w:t>
      </w:r>
      <w:r w:rsidR="00B8248F">
        <w:rPr>
          <w:rFonts w:ascii="Garamond" w:hAnsi="Garamond" w:cs="Arial"/>
          <w:color w:val="333333"/>
          <w:sz w:val="24"/>
          <w:szCs w:val="24"/>
        </w:rPr>
        <w:t xml:space="preserve"> </w:t>
      </w:r>
      <w:r w:rsidR="00200791">
        <w:rPr>
          <w:rFonts w:ascii="Garamond" w:hAnsi="Garamond" w:cs="Arial"/>
          <w:color w:val="333333"/>
          <w:sz w:val="24"/>
          <w:szCs w:val="24"/>
        </w:rPr>
        <w:t xml:space="preserve">SMEs </w:t>
      </w:r>
      <w:r w:rsidR="00B8248F">
        <w:rPr>
          <w:rFonts w:ascii="Garamond" w:hAnsi="Garamond" w:cs="Arial"/>
          <w:color w:val="333333"/>
          <w:sz w:val="24"/>
          <w:szCs w:val="24"/>
        </w:rPr>
        <w:t xml:space="preserve">due to </w:t>
      </w:r>
      <w:r w:rsidR="00200791">
        <w:rPr>
          <w:rFonts w:ascii="Garamond" w:hAnsi="Garamond" w:cs="Arial"/>
          <w:color w:val="333333"/>
          <w:sz w:val="24"/>
          <w:szCs w:val="24"/>
        </w:rPr>
        <w:t xml:space="preserve">multiple problems </w:t>
      </w:r>
      <w:r w:rsidR="00B8248F">
        <w:rPr>
          <w:rFonts w:ascii="Garamond" w:hAnsi="Garamond" w:cs="Arial"/>
          <w:color w:val="333333"/>
          <w:sz w:val="24"/>
          <w:szCs w:val="24"/>
        </w:rPr>
        <w:t xml:space="preserve">related to inadequate access to </w:t>
      </w:r>
      <w:r w:rsidR="00200791">
        <w:rPr>
          <w:rFonts w:ascii="Garamond" w:hAnsi="Garamond" w:cs="Arial"/>
          <w:color w:val="333333"/>
          <w:sz w:val="24"/>
          <w:szCs w:val="24"/>
        </w:rPr>
        <w:t xml:space="preserve">credit, market, technology, etc. </w:t>
      </w:r>
      <w:r w:rsidR="00200791">
        <w:rPr>
          <w:rFonts w:ascii="Garamond" w:hAnsi="Garamond"/>
          <w:sz w:val="24"/>
          <w:szCs w:val="24"/>
        </w:rPr>
        <w:t xml:space="preserve">The existing commercial banks don’t have a special window for SMEs services nor are there specialized financial institution to cater the needs of SMEs. This calls for </w:t>
      </w:r>
      <w:r w:rsidR="00200791" w:rsidRPr="00856823">
        <w:rPr>
          <w:rFonts w:ascii="Garamond" w:hAnsi="Garamond"/>
          <w:sz w:val="24"/>
          <w:szCs w:val="24"/>
        </w:rPr>
        <w:t xml:space="preserve">promoting </w:t>
      </w:r>
      <w:r w:rsidR="006D5F59" w:rsidRPr="000E1F7D">
        <w:rPr>
          <w:rFonts w:ascii="Garamond" w:hAnsi="Garamond" w:cs="Arial"/>
          <w:color w:val="333333"/>
          <w:sz w:val="24"/>
          <w:szCs w:val="24"/>
        </w:rPr>
        <w:t xml:space="preserve">new businesses and encourage job creation through expansions </w:t>
      </w:r>
      <w:r w:rsidR="006D5F59">
        <w:rPr>
          <w:rFonts w:ascii="Garamond" w:hAnsi="Garamond" w:cs="Arial"/>
          <w:color w:val="333333"/>
          <w:sz w:val="24"/>
          <w:szCs w:val="24"/>
        </w:rPr>
        <w:t xml:space="preserve">and growth </w:t>
      </w:r>
      <w:r w:rsidR="006D5F59" w:rsidRPr="000E1F7D">
        <w:rPr>
          <w:rFonts w:ascii="Garamond" w:hAnsi="Garamond" w:cs="Arial"/>
          <w:color w:val="333333"/>
          <w:sz w:val="24"/>
          <w:szCs w:val="24"/>
        </w:rPr>
        <w:t>of small and medium enterprises</w:t>
      </w:r>
      <w:r w:rsidR="006D5F59">
        <w:rPr>
          <w:rFonts w:ascii="Garamond" w:hAnsi="Garamond" w:cs="Arial"/>
          <w:color w:val="333333"/>
          <w:sz w:val="24"/>
          <w:szCs w:val="24"/>
        </w:rPr>
        <w:t xml:space="preserve"> (SMEs) </w:t>
      </w:r>
      <w:r w:rsidR="00200791" w:rsidRPr="00856823">
        <w:rPr>
          <w:rFonts w:ascii="Garamond" w:hAnsi="Garamond"/>
          <w:sz w:val="24"/>
          <w:szCs w:val="24"/>
        </w:rPr>
        <w:t>through improving access to warehouses, relaxing credit constraints, and improving the macroecon</w:t>
      </w:r>
      <w:r w:rsidR="00B8248F">
        <w:rPr>
          <w:rFonts w:ascii="Garamond" w:hAnsi="Garamond"/>
          <w:sz w:val="24"/>
          <w:szCs w:val="24"/>
        </w:rPr>
        <w:t>omic and regulatory environment</w:t>
      </w:r>
      <w:r w:rsidR="00200791" w:rsidRPr="00856823">
        <w:rPr>
          <w:rFonts w:ascii="Garamond" w:hAnsi="Garamond"/>
          <w:sz w:val="24"/>
          <w:szCs w:val="24"/>
        </w:rPr>
        <w:t>.</w:t>
      </w:r>
      <w:r w:rsidR="00200791">
        <w:rPr>
          <w:rFonts w:ascii="Garamond" w:hAnsi="Garamond"/>
          <w:sz w:val="24"/>
          <w:szCs w:val="24"/>
        </w:rPr>
        <w:t xml:space="preserve"> </w:t>
      </w:r>
      <w:r w:rsidR="00200791" w:rsidRPr="000E1F7D">
        <w:rPr>
          <w:rFonts w:ascii="Garamond" w:hAnsi="Garamond" w:cs="Arial"/>
          <w:color w:val="333333"/>
          <w:sz w:val="24"/>
          <w:szCs w:val="24"/>
        </w:rPr>
        <w:t xml:space="preserve">Key interventions include provide inclusive assistance for new businesses </w:t>
      </w:r>
      <w:r w:rsidR="00102569">
        <w:rPr>
          <w:rFonts w:ascii="Garamond" w:hAnsi="Garamond" w:cs="Arial"/>
          <w:color w:val="333333"/>
          <w:sz w:val="24"/>
          <w:szCs w:val="24"/>
        </w:rPr>
        <w:t>by strengthening the capacity of the existing institutions in charge of SMEs (e.g. FeMSEDA and SMEs bureaus )</w:t>
      </w:r>
      <w:r w:rsidR="00D75B6A">
        <w:rPr>
          <w:rFonts w:ascii="Garamond" w:hAnsi="Garamond" w:cs="Arial"/>
          <w:color w:val="333333"/>
          <w:sz w:val="24"/>
          <w:szCs w:val="24"/>
        </w:rPr>
        <w:t xml:space="preserve">, encourage the existing commercial banks and Development Bank of Ethiopia to have a dedicated window for SMEs </w:t>
      </w:r>
      <w:r w:rsidR="00200791" w:rsidRPr="000E1F7D">
        <w:rPr>
          <w:rFonts w:ascii="Garamond" w:hAnsi="Garamond" w:cs="Arial"/>
          <w:color w:val="333333"/>
          <w:sz w:val="24"/>
          <w:szCs w:val="24"/>
        </w:rPr>
        <w:t xml:space="preserve">and </w:t>
      </w:r>
      <w:r w:rsidR="00102569">
        <w:rPr>
          <w:rFonts w:ascii="Garamond" w:hAnsi="Garamond" w:cs="Arial"/>
          <w:color w:val="333333"/>
          <w:sz w:val="24"/>
          <w:szCs w:val="24"/>
        </w:rPr>
        <w:t>establish</w:t>
      </w:r>
      <w:r w:rsidR="00D75B6A">
        <w:rPr>
          <w:rFonts w:ascii="Garamond" w:hAnsi="Garamond" w:cs="Arial"/>
          <w:color w:val="333333"/>
          <w:sz w:val="24"/>
          <w:szCs w:val="24"/>
        </w:rPr>
        <w:t xml:space="preserve"> a separate financ</w:t>
      </w:r>
      <w:r w:rsidR="00D11269">
        <w:rPr>
          <w:rFonts w:ascii="Garamond" w:hAnsi="Garamond" w:cs="Arial"/>
          <w:color w:val="333333"/>
          <w:sz w:val="24"/>
          <w:szCs w:val="24"/>
        </w:rPr>
        <w:t>e</w:t>
      </w:r>
      <w:r w:rsidR="00D75B6A">
        <w:rPr>
          <w:rFonts w:ascii="Garamond" w:hAnsi="Garamond" w:cs="Arial"/>
          <w:color w:val="333333"/>
          <w:sz w:val="24"/>
          <w:szCs w:val="24"/>
        </w:rPr>
        <w:t xml:space="preserve"> institution for SMEs</w:t>
      </w:r>
      <w:r w:rsidR="00F82F63">
        <w:rPr>
          <w:rFonts w:ascii="Garamond" w:hAnsi="Garamond" w:cs="Arial"/>
          <w:color w:val="333333"/>
          <w:sz w:val="24"/>
          <w:szCs w:val="24"/>
        </w:rPr>
        <w:t xml:space="preserve"> (e.g. SMEs bank)</w:t>
      </w:r>
      <w:r w:rsidR="00D75B6A">
        <w:rPr>
          <w:rFonts w:ascii="Garamond" w:hAnsi="Garamond" w:cs="Arial"/>
          <w:color w:val="333333"/>
          <w:sz w:val="24"/>
          <w:szCs w:val="24"/>
        </w:rPr>
        <w:t>.</w:t>
      </w:r>
      <w:r w:rsidRPr="000E1F7D">
        <w:rPr>
          <w:rFonts w:ascii="Garamond" w:hAnsi="Garamond" w:cs="Arial"/>
          <w:color w:val="333333"/>
          <w:sz w:val="24"/>
          <w:szCs w:val="24"/>
        </w:rPr>
        <w:t xml:space="preserve"> In addition, enhance social protection and security through expanding the coverage of social security, strengthening qua</w:t>
      </w:r>
      <w:r w:rsidR="000A21B3">
        <w:rPr>
          <w:rFonts w:ascii="Garamond" w:hAnsi="Garamond" w:cs="Arial"/>
          <w:color w:val="333333"/>
          <w:sz w:val="24"/>
          <w:szCs w:val="24"/>
        </w:rPr>
        <w:t xml:space="preserve">lity basic healthcare services. </w:t>
      </w:r>
      <w:r w:rsidRPr="000E1F7D">
        <w:rPr>
          <w:rFonts w:ascii="Garamond" w:hAnsi="Garamond" w:cs="Arial"/>
          <w:color w:val="333333"/>
          <w:sz w:val="24"/>
          <w:szCs w:val="24"/>
        </w:rPr>
        <w:t xml:space="preserve">These interventions require substantial resources to implement, </w:t>
      </w:r>
      <w:r w:rsidR="00957B0D">
        <w:rPr>
          <w:rFonts w:ascii="Garamond" w:hAnsi="Garamond" w:cs="Arial"/>
          <w:color w:val="333333"/>
          <w:sz w:val="24"/>
          <w:szCs w:val="24"/>
        </w:rPr>
        <w:t xml:space="preserve">enhanced </w:t>
      </w:r>
      <w:r w:rsidRPr="000E1F7D">
        <w:rPr>
          <w:rFonts w:ascii="Garamond" w:hAnsi="Garamond" w:cs="Arial"/>
          <w:color w:val="333333"/>
          <w:sz w:val="24"/>
          <w:szCs w:val="24"/>
        </w:rPr>
        <w:t xml:space="preserve">coordination and alignment of programmes from different stakeholders to achieve the desired targets. </w:t>
      </w:r>
    </w:p>
    <w:p w:rsidR="00E12F0F" w:rsidRDefault="00E12F0F">
      <w:pPr>
        <w:spacing w:after="160" w:line="259" w:lineRule="auto"/>
        <w:rPr>
          <w:rFonts w:ascii="Garamond" w:hAnsi="Garamond" w:cs="Arial"/>
          <w:b/>
          <w:color w:val="333333"/>
          <w:sz w:val="24"/>
          <w:szCs w:val="24"/>
        </w:rPr>
      </w:pPr>
      <w:r>
        <w:rPr>
          <w:rFonts w:ascii="Garamond" w:hAnsi="Garamond" w:cs="Arial"/>
          <w:b/>
          <w:color w:val="333333"/>
          <w:sz w:val="24"/>
          <w:szCs w:val="24"/>
        </w:rPr>
        <w:br w:type="page"/>
      </w:r>
    </w:p>
    <w:p w:rsidR="00C255B8" w:rsidRPr="00CC143C" w:rsidRDefault="00D62662" w:rsidP="00CC143C">
      <w:pPr>
        <w:pStyle w:val="Heading2"/>
        <w:rPr>
          <w:rFonts w:ascii="Garamond" w:hAnsi="Garamond"/>
          <w:b/>
          <w:sz w:val="24"/>
          <w:szCs w:val="24"/>
        </w:rPr>
      </w:pPr>
      <w:bookmarkStart w:id="99" w:name="_Toc486782287"/>
      <w:r w:rsidRPr="00CC143C">
        <w:rPr>
          <w:rFonts w:ascii="Garamond" w:hAnsi="Garamond"/>
          <w:b/>
          <w:sz w:val="24"/>
          <w:szCs w:val="24"/>
        </w:rPr>
        <w:lastRenderedPageBreak/>
        <w:t xml:space="preserve">7.3 </w:t>
      </w:r>
      <w:r w:rsidR="00187CD8" w:rsidRPr="00CC143C">
        <w:rPr>
          <w:rFonts w:ascii="Garamond" w:hAnsi="Garamond"/>
          <w:b/>
          <w:sz w:val="24"/>
          <w:szCs w:val="24"/>
        </w:rPr>
        <w:t>Matrix of interventions</w:t>
      </w:r>
      <w:r w:rsidR="00977F90" w:rsidRPr="00CC143C">
        <w:rPr>
          <w:rFonts w:ascii="Garamond" w:hAnsi="Garamond"/>
          <w:b/>
          <w:sz w:val="24"/>
          <w:szCs w:val="24"/>
        </w:rPr>
        <w:t xml:space="preserve"> and monitoring and reporting</w:t>
      </w:r>
      <w:bookmarkEnd w:id="99"/>
    </w:p>
    <w:p w:rsidR="00187CD8" w:rsidRPr="00C255B8" w:rsidRDefault="00977F90" w:rsidP="00C255B8">
      <w:pPr>
        <w:pStyle w:val="Heading2"/>
        <w:spacing w:before="0" w:line="240" w:lineRule="auto"/>
        <w:rPr>
          <w:rFonts w:ascii="Garamond" w:hAnsi="Garamond"/>
          <w:b/>
          <w:noProof/>
          <w:lang w:eastAsia="en-CA"/>
        </w:rPr>
      </w:pPr>
      <w:r w:rsidRPr="00C255B8">
        <w:rPr>
          <w:rFonts w:ascii="Garamond" w:hAnsi="Garamond"/>
          <w:b/>
        </w:rPr>
        <w:t xml:space="preserve"> </w:t>
      </w:r>
    </w:p>
    <w:p w:rsidR="00752AD4" w:rsidRPr="00CC143C" w:rsidRDefault="00D62662" w:rsidP="00CC143C">
      <w:pPr>
        <w:pStyle w:val="Heading3"/>
        <w:rPr>
          <w:rFonts w:ascii="Garamond" w:hAnsi="Garamond"/>
          <w:b/>
          <w:i/>
          <w:noProof/>
          <w:lang w:eastAsia="en-CA"/>
        </w:rPr>
      </w:pPr>
      <w:bookmarkStart w:id="100" w:name="_Toc486782288"/>
      <w:r w:rsidRPr="00CC143C">
        <w:rPr>
          <w:rFonts w:ascii="Garamond" w:hAnsi="Garamond"/>
          <w:b/>
          <w:noProof/>
          <w:lang w:eastAsia="en-CA"/>
        </w:rPr>
        <w:t>7.3.1</w:t>
      </w:r>
      <w:r w:rsidR="00C80847" w:rsidRPr="00CC143C">
        <w:rPr>
          <w:rFonts w:ascii="Garamond" w:hAnsi="Garamond"/>
          <w:b/>
          <w:noProof/>
          <w:lang w:eastAsia="en-CA"/>
        </w:rPr>
        <w:t xml:space="preserve"> </w:t>
      </w:r>
      <w:r w:rsidR="00C80847" w:rsidRPr="00CC143C">
        <w:rPr>
          <w:rFonts w:ascii="Garamond" w:hAnsi="Garamond"/>
          <w:b/>
        </w:rPr>
        <w:t>Matrix of interventions</w:t>
      </w:r>
      <w:bookmarkEnd w:id="100"/>
    </w:p>
    <w:p w:rsidR="00C80847" w:rsidRDefault="00C80847" w:rsidP="00C462CD">
      <w:pPr>
        <w:spacing w:after="0" w:line="240" w:lineRule="auto"/>
        <w:jc w:val="both"/>
        <w:rPr>
          <w:rFonts w:ascii="Garamond" w:hAnsi="Garamond"/>
          <w:noProof/>
          <w:sz w:val="24"/>
          <w:szCs w:val="24"/>
          <w:lang w:eastAsia="en-CA"/>
        </w:rPr>
      </w:pPr>
    </w:p>
    <w:p w:rsidR="00187CD8" w:rsidRPr="00D95821" w:rsidRDefault="00187CD8" w:rsidP="00C462CD">
      <w:pPr>
        <w:spacing w:after="0" w:line="240" w:lineRule="auto"/>
        <w:jc w:val="both"/>
        <w:rPr>
          <w:rFonts w:ascii="Garamond" w:hAnsi="Garamond"/>
          <w:sz w:val="24"/>
          <w:szCs w:val="24"/>
        </w:rPr>
      </w:pPr>
      <w:r w:rsidRPr="00C14F32">
        <w:rPr>
          <w:rFonts w:ascii="Garamond" w:hAnsi="Garamond"/>
          <w:sz w:val="24"/>
          <w:szCs w:val="24"/>
        </w:rPr>
        <w:t xml:space="preserve">Ethiopia, although growing faster than many of its Sub-Saharan African peers, has not managed to substantially raise the fiscal revenue share of GDP. Supportive macroeconomic and structural economic reforms can endogenously drive revenue mobilization through the revenue-generating institutions that Ethiopia has already put in place. Optimizing the efficiency of these institutions will allow </w:t>
      </w:r>
      <w:r w:rsidR="00E12F0F">
        <w:rPr>
          <w:rFonts w:ascii="Garamond" w:hAnsi="Garamond"/>
          <w:sz w:val="24"/>
          <w:szCs w:val="24"/>
        </w:rPr>
        <w:t xml:space="preserve">the country </w:t>
      </w:r>
      <w:r w:rsidRPr="00C14F32">
        <w:rPr>
          <w:rFonts w:ascii="Garamond" w:hAnsi="Garamond"/>
          <w:sz w:val="24"/>
          <w:szCs w:val="24"/>
        </w:rPr>
        <w:t>to make the most of the new opportunities for revenue mobilization. With its newfound international credit rating, Ethiopia could also conceivably fill part of its financing needs by tapping into the demand for higher-yielding bonds from investors in advanced</w:t>
      </w:r>
      <w:r>
        <w:rPr>
          <w:rFonts w:ascii="Garamond" w:hAnsi="Garamond"/>
          <w:sz w:val="24"/>
          <w:szCs w:val="24"/>
        </w:rPr>
        <w:t xml:space="preserve"> and emerging</w:t>
      </w:r>
      <w:r w:rsidRPr="00C14F32">
        <w:rPr>
          <w:rFonts w:ascii="Garamond" w:hAnsi="Garamond"/>
          <w:sz w:val="24"/>
          <w:szCs w:val="24"/>
        </w:rPr>
        <w:t xml:space="preserve"> countries</w:t>
      </w:r>
      <w:r w:rsidRPr="00D95821">
        <w:rPr>
          <w:rFonts w:ascii="Garamond" w:hAnsi="Garamond"/>
          <w:sz w:val="24"/>
          <w:szCs w:val="24"/>
        </w:rPr>
        <w:t xml:space="preserve">. In addition, </w:t>
      </w:r>
      <w:r>
        <w:rPr>
          <w:rFonts w:ascii="Garamond" w:hAnsi="Garamond"/>
          <w:sz w:val="24"/>
          <w:szCs w:val="24"/>
        </w:rPr>
        <w:t xml:space="preserve">forging partnership </w:t>
      </w:r>
      <w:r w:rsidRPr="00D95821">
        <w:rPr>
          <w:rFonts w:ascii="Garamond" w:hAnsi="Garamond"/>
          <w:sz w:val="24"/>
          <w:szCs w:val="24"/>
        </w:rPr>
        <w:t xml:space="preserve">with non-traditional </w:t>
      </w:r>
      <w:r>
        <w:rPr>
          <w:rFonts w:ascii="Garamond" w:hAnsi="Garamond"/>
          <w:sz w:val="24"/>
          <w:szCs w:val="24"/>
        </w:rPr>
        <w:t xml:space="preserve">development partners will help </w:t>
      </w:r>
      <w:r w:rsidR="00AA1BEF">
        <w:rPr>
          <w:rFonts w:ascii="Garamond" w:hAnsi="Garamond"/>
          <w:sz w:val="24"/>
          <w:szCs w:val="24"/>
        </w:rPr>
        <w:t>m</w:t>
      </w:r>
      <w:r>
        <w:rPr>
          <w:rFonts w:ascii="Garamond" w:hAnsi="Garamond"/>
          <w:sz w:val="24"/>
          <w:szCs w:val="24"/>
        </w:rPr>
        <w:t>obiliz</w:t>
      </w:r>
      <w:r w:rsidR="00AA1BEF">
        <w:rPr>
          <w:rFonts w:ascii="Garamond" w:hAnsi="Garamond"/>
          <w:sz w:val="24"/>
          <w:szCs w:val="24"/>
        </w:rPr>
        <w:t>e</w:t>
      </w:r>
      <w:r>
        <w:rPr>
          <w:rFonts w:ascii="Garamond" w:hAnsi="Garamond"/>
          <w:sz w:val="24"/>
          <w:szCs w:val="24"/>
        </w:rPr>
        <w:t xml:space="preserve"> </w:t>
      </w:r>
      <w:r w:rsidRPr="00D95821">
        <w:rPr>
          <w:rFonts w:ascii="Garamond" w:hAnsi="Garamond"/>
          <w:sz w:val="24"/>
          <w:szCs w:val="24"/>
        </w:rPr>
        <w:t>financ</w:t>
      </w:r>
      <w:r>
        <w:rPr>
          <w:rFonts w:ascii="Garamond" w:hAnsi="Garamond"/>
          <w:sz w:val="24"/>
          <w:szCs w:val="24"/>
        </w:rPr>
        <w:t xml:space="preserve">e for </w:t>
      </w:r>
      <w:r w:rsidRPr="00D95821">
        <w:rPr>
          <w:rFonts w:ascii="Garamond" w:hAnsi="Garamond"/>
          <w:sz w:val="24"/>
          <w:szCs w:val="24"/>
        </w:rPr>
        <w:t xml:space="preserve">large-scale </w:t>
      </w:r>
      <w:r>
        <w:rPr>
          <w:rFonts w:ascii="Garamond" w:hAnsi="Garamond"/>
          <w:sz w:val="24"/>
          <w:szCs w:val="24"/>
        </w:rPr>
        <w:t xml:space="preserve">development </w:t>
      </w:r>
      <w:r w:rsidRPr="00D95821">
        <w:rPr>
          <w:rFonts w:ascii="Garamond" w:hAnsi="Garamond"/>
          <w:sz w:val="24"/>
          <w:szCs w:val="24"/>
        </w:rPr>
        <w:t xml:space="preserve">projects </w:t>
      </w:r>
      <w:r>
        <w:rPr>
          <w:rFonts w:ascii="Garamond" w:hAnsi="Garamond"/>
          <w:sz w:val="24"/>
          <w:szCs w:val="24"/>
        </w:rPr>
        <w:t xml:space="preserve">which are </w:t>
      </w:r>
      <w:r w:rsidRPr="00D95821">
        <w:rPr>
          <w:rFonts w:ascii="Garamond" w:hAnsi="Garamond"/>
          <w:sz w:val="24"/>
          <w:szCs w:val="24"/>
        </w:rPr>
        <w:t xml:space="preserve">crucial for </w:t>
      </w:r>
      <w:r>
        <w:rPr>
          <w:rFonts w:ascii="Garamond" w:hAnsi="Garamond"/>
          <w:sz w:val="24"/>
          <w:szCs w:val="24"/>
        </w:rPr>
        <w:t xml:space="preserve">achieving development </w:t>
      </w:r>
      <w:r w:rsidRPr="00D95821">
        <w:rPr>
          <w:rFonts w:ascii="Garamond" w:hAnsi="Garamond"/>
          <w:sz w:val="24"/>
          <w:szCs w:val="24"/>
        </w:rPr>
        <w:t>targets.</w:t>
      </w:r>
      <w:r w:rsidRPr="00727B64">
        <w:t xml:space="preserve"> </w:t>
      </w:r>
      <w:r>
        <w:rPr>
          <w:rFonts w:ascii="Garamond" w:hAnsi="Garamond"/>
          <w:sz w:val="24"/>
          <w:szCs w:val="24"/>
        </w:rPr>
        <w:t>T</w:t>
      </w:r>
      <w:r w:rsidRPr="00727B64">
        <w:rPr>
          <w:rFonts w:ascii="Garamond" w:hAnsi="Garamond"/>
          <w:sz w:val="24"/>
          <w:szCs w:val="24"/>
        </w:rPr>
        <w:t xml:space="preserve">he private sector </w:t>
      </w:r>
      <w:r>
        <w:rPr>
          <w:rFonts w:ascii="Garamond" w:hAnsi="Garamond"/>
          <w:sz w:val="24"/>
          <w:szCs w:val="24"/>
        </w:rPr>
        <w:t xml:space="preserve">also </w:t>
      </w:r>
      <w:r w:rsidRPr="00727B64">
        <w:rPr>
          <w:rFonts w:ascii="Garamond" w:hAnsi="Garamond"/>
          <w:sz w:val="24"/>
          <w:szCs w:val="24"/>
        </w:rPr>
        <w:t xml:space="preserve">offers </w:t>
      </w:r>
      <w:r>
        <w:rPr>
          <w:rFonts w:ascii="Garamond" w:hAnsi="Garamond"/>
          <w:sz w:val="24"/>
          <w:szCs w:val="24"/>
        </w:rPr>
        <w:t xml:space="preserve">a significant </w:t>
      </w:r>
      <w:r w:rsidRPr="00727B64">
        <w:rPr>
          <w:rFonts w:ascii="Garamond" w:hAnsi="Garamond"/>
          <w:sz w:val="24"/>
          <w:szCs w:val="24"/>
        </w:rPr>
        <w:t>scope for increased public-private partnerships</w:t>
      </w:r>
      <w:r>
        <w:rPr>
          <w:rFonts w:ascii="Garamond" w:hAnsi="Garamond"/>
          <w:sz w:val="24"/>
          <w:szCs w:val="24"/>
        </w:rPr>
        <w:t xml:space="preserve"> to finance developments</w:t>
      </w:r>
      <w:r w:rsidRPr="00727B64">
        <w:rPr>
          <w:rFonts w:ascii="Garamond" w:hAnsi="Garamond"/>
          <w:sz w:val="24"/>
          <w:szCs w:val="24"/>
        </w:rPr>
        <w:t>.</w:t>
      </w:r>
      <w:r>
        <w:rPr>
          <w:rFonts w:ascii="Garamond" w:hAnsi="Garamond"/>
          <w:sz w:val="24"/>
          <w:szCs w:val="24"/>
        </w:rPr>
        <w:t xml:space="preserve"> Together, these present </w:t>
      </w:r>
      <w:r w:rsidRPr="002D326B">
        <w:rPr>
          <w:rFonts w:ascii="Garamond" w:hAnsi="Garamond"/>
          <w:sz w:val="24"/>
          <w:szCs w:val="24"/>
        </w:rPr>
        <w:t>opportunities for mobiliz</w:t>
      </w:r>
      <w:r>
        <w:rPr>
          <w:rFonts w:ascii="Garamond" w:hAnsi="Garamond"/>
          <w:sz w:val="24"/>
          <w:szCs w:val="24"/>
        </w:rPr>
        <w:t>ing</w:t>
      </w:r>
      <w:r w:rsidRPr="002D326B">
        <w:rPr>
          <w:rFonts w:ascii="Garamond" w:hAnsi="Garamond"/>
          <w:sz w:val="24"/>
          <w:szCs w:val="24"/>
        </w:rPr>
        <w:t xml:space="preserve"> resources</w:t>
      </w:r>
      <w:r>
        <w:rPr>
          <w:rFonts w:ascii="Garamond" w:hAnsi="Garamond"/>
          <w:sz w:val="24"/>
          <w:szCs w:val="24"/>
        </w:rPr>
        <w:t>, but th</w:t>
      </w:r>
      <w:r w:rsidRPr="002D326B">
        <w:rPr>
          <w:rFonts w:ascii="Garamond" w:hAnsi="Garamond"/>
          <w:sz w:val="24"/>
          <w:szCs w:val="24"/>
        </w:rPr>
        <w:t xml:space="preserve">ere are </w:t>
      </w:r>
      <w:r>
        <w:rPr>
          <w:rFonts w:ascii="Garamond" w:hAnsi="Garamond"/>
          <w:sz w:val="24"/>
          <w:szCs w:val="24"/>
        </w:rPr>
        <w:t xml:space="preserve">also </w:t>
      </w:r>
      <w:r w:rsidRPr="002D326B">
        <w:rPr>
          <w:rFonts w:ascii="Garamond" w:hAnsi="Garamond"/>
          <w:sz w:val="24"/>
          <w:szCs w:val="24"/>
        </w:rPr>
        <w:t>challenges</w:t>
      </w:r>
      <w:r>
        <w:rPr>
          <w:rFonts w:ascii="Garamond" w:hAnsi="Garamond"/>
          <w:sz w:val="24"/>
          <w:szCs w:val="24"/>
        </w:rPr>
        <w:t xml:space="preserve"> such as </w:t>
      </w:r>
      <w:r w:rsidR="00F527D8">
        <w:rPr>
          <w:rFonts w:ascii="Garamond" w:hAnsi="Garamond"/>
          <w:sz w:val="24"/>
          <w:szCs w:val="24"/>
        </w:rPr>
        <w:t xml:space="preserve">inadequate </w:t>
      </w:r>
      <w:r w:rsidRPr="002D326B">
        <w:rPr>
          <w:rFonts w:ascii="Garamond" w:hAnsi="Garamond"/>
          <w:sz w:val="24"/>
          <w:szCs w:val="24"/>
        </w:rPr>
        <w:t xml:space="preserve">internal knowledge base </w:t>
      </w:r>
      <w:r w:rsidR="00045341">
        <w:rPr>
          <w:rFonts w:ascii="Garamond" w:hAnsi="Garamond"/>
          <w:sz w:val="24"/>
          <w:szCs w:val="24"/>
        </w:rPr>
        <w:t>i</w:t>
      </w:r>
      <w:r w:rsidRPr="002D326B">
        <w:rPr>
          <w:rFonts w:ascii="Garamond" w:hAnsi="Garamond"/>
          <w:sz w:val="24"/>
          <w:szCs w:val="24"/>
        </w:rPr>
        <w:t xml:space="preserve">n </w:t>
      </w:r>
      <w:r>
        <w:rPr>
          <w:rFonts w:ascii="Garamond" w:hAnsi="Garamond"/>
          <w:sz w:val="24"/>
          <w:szCs w:val="24"/>
        </w:rPr>
        <w:t xml:space="preserve">accessing international finance and </w:t>
      </w:r>
      <w:r w:rsidRPr="002D326B">
        <w:rPr>
          <w:rFonts w:ascii="Garamond" w:hAnsi="Garamond"/>
          <w:sz w:val="24"/>
          <w:szCs w:val="24"/>
        </w:rPr>
        <w:t xml:space="preserve">how new funding </w:t>
      </w:r>
      <w:r>
        <w:rPr>
          <w:rFonts w:ascii="Garamond" w:hAnsi="Garamond"/>
          <w:sz w:val="24"/>
          <w:szCs w:val="24"/>
        </w:rPr>
        <w:t>modalities work</w:t>
      </w:r>
      <w:r w:rsidR="00F527D8">
        <w:rPr>
          <w:rFonts w:ascii="Garamond" w:hAnsi="Garamond"/>
          <w:sz w:val="24"/>
          <w:szCs w:val="24"/>
        </w:rPr>
        <w:t xml:space="preserve">, absence of organized legal framework, especially for PPP, and </w:t>
      </w:r>
      <w:r w:rsidR="00555B14">
        <w:rPr>
          <w:rFonts w:ascii="Garamond" w:hAnsi="Garamond"/>
          <w:sz w:val="24"/>
          <w:szCs w:val="24"/>
        </w:rPr>
        <w:t>c</w:t>
      </w:r>
      <w:r w:rsidR="00F527D8">
        <w:rPr>
          <w:rFonts w:ascii="Garamond" w:hAnsi="Garamond"/>
          <w:sz w:val="24"/>
          <w:szCs w:val="24"/>
        </w:rPr>
        <w:t>hanging nature of international financing priorities</w:t>
      </w:r>
      <w:r>
        <w:rPr>
          <w:rFonts w:ascii="Garamond" w:hAnsi="Garamond"/>
          <w:sz w:val="24"/>
          <w:szCs w:val="24"/>
        </w:rPr>
        <w:t xml:space="preserve">. </w:t>
      </w:r>
    </w:p>
    <w:p w:rsidR="00187CD8" w:rsidRPr="00C14F32" w:rsidRDefault="00187CD8" w:rsidP="00C462CD">
      <w:pPr>
        <w:spacing w:after="0" w:line="240" w:lineRule="auto"/>
        <w:jc w:val="both"/>
        <w:rPr>
          <w:rFonts w:ascii="Garamond" w:hAnsi="Garamond"/>
          <w:sz w:val="24"/>
          <w:szCs w:val="24"/>
        </w:rPr>
      </w:pPr>
    </w:p>
    <w:p w:rsidR="00187CD8" w:rsidRPr="00C14F32" w:rsidRDefault="00187CD8" w:rsidP="00C462CD">
      <w:pPr>
        <w:spacing w:after="0" w:line="240" w:lineRule="auto"/>
        <w:jc w:val="both"/>
        <w:rPr>
          <w:rFonts w:ascii="Garamond" w:hAnsi="Garamond"/>
          <w:sz w:val="24"/>
          <w:szCs w:val="24"/>
        </w:rPr>
      </w:pPr>
      <w:r w:rsidRPr="00C14F32">
        <w:rPr>
          <w:rFonts w:ascii="Garamond" w:hAnsi="Garamond"/>
          <w:sz w:val="24"/>
          <w:szCs w:val="24"/>
        </w:rPr>
        <w:t xml:space="preserve">For Ethiopia to advance to the next level of development, there is a need to resolve the basic revenue mobilization constraints through a set of forward looking interventions which could boost the revenue generating capacity of the economy. After a thorough review of national, regional and global perspectives and situations on resource mobilization, a package of interventions have been identified to support the country’s resource mobilization efforts which are envisaged to be implemented during the GTP-II period. The implementation of these interventions involves the participation of different stakeholders, which the government needs to play a leading role in terms of coordination and creating an enabling environment. </w:t>
      </w:r>
    </w:p>
    <w:p w:rsidR="00187CD8" w:rsidRPr="00C14F32" w:rsidRDefault="00187CD8" w:rsidP="00C462CD">
      <w:pPr>
        <w:spacing w:after="0" w:line="240" w:lineRule="auto"/>
        <w:jc w:val="both"/>
        <w:rPr>
          <w:rFonts w:ascii="Garamond" w:hAnsi="Garamond"/>
          <w:sz w:val="24"/>
          <w:szCs w:val="24"/>
        </w:rPr>
      </w:pPr>
    </w:p>
    <w:p w:rsidR="00187CD8" w:rsidRDefault="00187CD8" w:rsidP="00C462CD">
      <w:pPr>
        <w:spacing w:after="0" w:line="240" w:lineRule="auto"/>
        <w:jc w:val="both"/>
        <w:rPr>
          <w:rFonts w:ascii="Garamond" w:hAnsi="Garamond"/>
          <w:sz w:val="24"/>
          <w:szCs w:val="24"/>
        </w:rPr>
      </w:pPr>
      <w:r w:rsidRPr="00C14F32">
        <w:rPr>
          <w:rFonts w:ascii="Garamond" w:hAnsi="Garamond"/>
          <w:sz w:val="24"/>
          <w:szCs w:val="24"/>
        </w:rPr>
        <w:t>The proposed matrix of interventions includes key pillars, outcomes, outputs, indicators and time frame</w:t>
      </w:r>
      <w:r w:rsidR="00056611">
        <w:rPr>
          <w:rFonts w:ascii="Garamond" w:hAnsi="Garamond"/>
          <w:sz w:val="24"/>
          <w:szCs w:val="24"/>
        </w:rPr>
        <w:t xml:space="preserve"> (Table 7)</w:t>
      </w:r>
      <w:r w:rsidRPr="00C14F32">
        <w:rPr>
          <w:rFonts w:ascii="Garamond" w:hAnsi="Garamond"/>
          <w:sz w:val="24"/>
          <w:szCs w:val="24"/>
        </w:rPr>
        <w:t xml:space="preserve">. In addition, it </w:t>
      </w:r>
      <w:r w:rsidR="00797787">
        <w:rPr>
          <w:rFonts w:ascii="Garamond" w:hAnsi="Garamond"/>
          <w:sz w:val="24"/>
          <w:szCs w:val="24"/>
        </w:rPr>
        <w:t xml:space="preserve">also </w:t>
      </w:r>
      <w:r w:rsidRPr="00C14F32">
        <w:rPr>
          <w:rFonts w:ascii="Garamond" w:hAnsi="Garamond"/>
          <w:sz w:val="24"/>
          <w:szCs w:val="24"/>
        </w:rPr>
        <w:t xml:space="preserve">identifies relevant </w:t>
      </w:r>
      <w:r w:rsidR="001332EC">
        <w:rPr>
          <w:rFonts w:ascii="Garamond" w:hAnsi="Garamond"/>
          <w:sz w:val="24"/>
          <w:szCs w:val="24"/>
        </w:rPr>
        <w:t>responsible stakeh</w:t>
      </w:r>
      <w:r w:rsidRPr="00C14F32">
        <w:rPr>
          <w:rFonts w:ascii="Garamond" w:hAnsi="Garamond"/>
          <w:sz w:val="24"/>
          <w:szCs w:val="24"/>
        </w:rPr>
        <w:t xml:space="preserve">olders for implementation, monitoring and </w:t>
      </w:r>
      <w:r w:rsidR="00797787">
        <w:rPr>
          <w:rFonts w:ascii="Garamond" w:hAnsi="Garamond"/>
          <w:sz w:val="24"/>
          <w:szCs w:val="24"/>
        </w:rPr>
        <w:t>reporting</w:t>
      </w:r>
      <w:r w:rsidRPr="00C14F32">
        <w:rPr>
          <w:rFonts w:ascii="Garamond" w:hAnsi="Garamond"/>
          <w:sz w:val="24"/>
          <w:szCs w:val="24"/>
        </w:rPr>
        <w:t xml:space="preserve">. Note that </w:t>
      </w:r>
      <w:r w:rsidR="00797787">
        <w:rPr>
          <w:rFonts w:ascii="Garamond" w:hAnsi="Garamond"/>
          <w:sz w:val="24"/>
          <w:szCs w:val="24"/>
        </w:rPr>
        <w:t xml:space="preserve">some of the </w:t>
      </w:r>
      <w:r w:rsidRPr="00C14F32">
        <w:rPr>
          <w:rFonts w:ascii="Garamond" w:hAnsi="Garamond"/>
          <w:sz w:val="24"/>
          <w:szCs w:val="24"/>
        </w:rPr>
        <w:t xml:space="preserve">priority interventions are aligned with those indicated in the second Growth and Transformation Plan (GTP-II) of the country. </w:t>
      </w:r>
      <w:r w:rsidR="00797787">
        <w:rPr>
          <w:rFonts w:ascii="Garamond" w:hAnsi="Garamond"/>
          <w:sz w:val="24"/>
          <w:szCs w:val="24"/>
        </w:rPr>
        <w:t xml:space="preserve">But there is no a one to one correspondence between the result matrix of GTP-II and the AAAA matrix of interventions as the latter </w:t>
      </w:r>
      <w:r w:rsidR="0023367E">
        <w:rPr>
          <w:rFonts w:ascii="Garamond" w:hAnsi="Garamond"/>
          <w:sz w:val="24"/>
          <w:szCs w:val="24"/>
        </w:rPr>
        <w:t>provides detail</w:t>
      </w:r>
      <w:r w:rsidR="009E1D21">
        <w:rPr>
          <w:rFonts w:ascii="Garamond" w:hAnsi="Garamond"/>
          <w:sz w:val="24"/>
          <w:szCs w:val="24"/>
        </w:rPr>
        <w:t>ed information</w:t>
      </w:r>
      <w:r w:rsidR="00E6145B">
        <w:rPr>
          <w:rFonts w:ascii="Garamond" w:hAnsi="Garamond"/>
          <w:sz w:val="24"/>
          <w:szCs w:val="24"/>
        </w:rPr>
        <w:t xml:space="preserve"> and milestones</w:t>
      </w:r>
      <w:r w:rsidR="009E1D21">
        <w:rPr>
          <w:rFonts w:ascii="Garamond" w:hAnsi="Garamond"/>
          <w:sz w:val="24"/>
          <w:szCs w:val="24"/>
        </w:rPr>
        <w:t xml:space="preserve"> o</w:t>
      </w:r>
      <w:r w:rsidR="00797787">
        <w:rPr>
          <w:rFonts w:ascii="Garamond" w:hAnsi="Garamond"/>
          <w:sz w:val="24"/>
          <w:szCs w:val="24"/>
        </w:rPr>
        <w:t>n resource mobilization</w:t>
      </w:r>
      <w:r w:rsidR="008737AF">
        <w:rPr>
          <w:rFonts w:ascii="Garamond" w:hAnsi="Garamond"/>
          <w:sz w:val="24"/>
          <w:szCs w:val="24"/>
        </w:rPr>
        <w:t xml:space="preserve"> mechanisms</w:t>
      </w:r>
      <w:r w:rsidR="00797787">
        <w:rPr>
          <w:rFonts w:ascii="Garamond" w:hAnsi="Garamond"/>
          <w:sz w:val="24"/>
          <w:szCs w:val="24"/>
        </w:rPr>
        <w:t xml:space="preserve">. </w:t>
      </w:r>
      <w:r w:rsidR="008A516E">
        <w:rPr>
          <w:rFonts w:ascii="Garamond" w:hAnsi="Garamond"/>
          <w:sz w:val="24"/>
          <w:szCs w:val="24"/>
        </w:rPr>
        <w:t xml:space="preserve">If one wishes to track the progress of the roadmap both quantitatively and qualitatively over time, </w:t>
      </w:r>
      <w:r w:rsidR="00D44C4F">
        <w:rPr>
          <w:rFonts w:ascii="Garamond" w:hAnsi="Garamond"/>
          <w:sz w:val="24"/>
          <w:szCs w:val="24"/>
        </w:rPr>
        <w:t xml:space="preserve">indicators need to be populated with </w:t>
      </w:r>
      <w:r w:rsidR="00A949FF">
        <w:rPr>
          <w:rFonts w:ascii="Garamond" w:hAnsi="Garamond"/>
          <w:sz w:val="24"/>
          <w:szCs w:val="24"/>
        </w:rPr>
        <w:t xml:space="preserve">baseline </w:t>
      </w:r>
      <w:r w:rsidR="00C4722E">
        <w:rPr>
          <w:rFonts w:ascii="Garamond" w:hAnsi="Garamond"/>
          <w:sz w:val="24"/>
          <w:szCs w:val="24"/>
        </w:rPr>
        <w:t xml:space="preserve">information and there is also a need to set </w:t>
      </w:r>
      <w:r w:rsidR="00A949FF">
        <w:rPr>
          <w:rFonts w:ascii="Garamond" w:hAnsi="Garamond"/>
          <w:sz w:val="24"/>
          <w:szCs w:val="24"/>
        </w:rPr>
        <w:t xml:space="preserve">targets </w:t>
      </w:r>
      <w:r w:rsidR="00C4722E">
        <w:rPr>
          <w:rFonts w:ascii="Garamond" w:hAnsi="Garamond"/>
          <w:sz w:val="24"/>
          <w:szCs w:val="24"/>
        </w:rPr>
        <w:t>across the years</w:t>
      </w:r>
      <w:r w:rsidR="0049400B">
        <w:rPr>
          <w:rFonts w:ascii="Garamond" w:hAnsi="Garamond"/>
          <w:sz w:val="24"/>
          <w:szCs w:val="24"/>
        </w:rPr>
        <w:t xml:space="preserve">.  </w:t>
      </w:r>
      <w:r w:rsidR="00A949FF">
        <w:rPr>
          <w:rFonts w:ascii="Garamond" w:hAnsi="Garamond"/>
          <w:sz w:val="24"/>
          <w:szCs w:val="24"/>
        </w:rPr>
        <w:t xml:space="preserve"> </w:t>
      </w:r>
    </w:p>
    <w:p w:rsidR="0052661D" w:rsidRDefault="0052661D" w:rsidP="0052661D">
      <w:pPr>
        <w:spacing w:after="0" w:line="240" w:lineRule="auto"/>
        <w:jc w:val="both"/>
        <w:rPr>
          <w:rFonts w:ascii="Garamond" w:hAnsi="Garamond"/>
          <w:sz w:val="24"/>
          <w:szCs w:val="24"/>
        </w:rPr>
      </w:pPr>
      <w:r>
        <w:rPr>
          <w:rFonts w:ascii="Garamond" w:hAnsi="Garamond"/>
          <w:sz w:val="24"/>
          <w:szCs w:val="24"/>
        </w:rPr>
        <w:t xml:space="preserve">Getting baseline information including setting targets for the identified indicators is difficult to </w:t>
      </w:r>
      <w:r w:rsidR="002714B3">
        <w:rPr>
          <w:rFonts w:ascii="Garamond" w:hAnsi="Garamond"/>
          <w:sz w:val="24"/>
          <w:szCs w:val="24"/>
        </w:rPr>
        <w:t>gather</w:t>
      </w:r>
      <w:r>
        <w:rPr>
          <w:rFonts w:ascii="Garamond" w:hAnsi="Garamond"/>
          <w:sz w:val="24"/>
          <w:szCs w:val="24"/>
        </w:rPr>
        <w:t xml:space="preserve">. Further assessment is required to generate baseline information and set </w:t>
      </w:r>
      <w:r w:rsidR="00EF12ED">
        <w:rPr>
          <w:rFonts w:ascii="Garamond" w:hAnsi="Garamond"/>
          <w:sz w:val="24"/>
          <w:szCs w:val="24"/>
        </w:rPr>
        <w:t>targets for</w:t>
      </w:r>
      <w:r>
        <w:rPr>
          <w:rFonts w:ascii="Garamond" w:hAnsi="Garamond"/>
          <w:sz w:val="24"/>
          <w:szCs w:val="24"/>
        </w:rPr>
        <w:t xml:space="preserve"> the </w:t>
      </w:r>
      <w:r w:rsidR="00EF12ED">
        <w:rPr>
          <w:rFonts w:ascii="Garamond" w:hAnsi="Garamond"/>
          <w:sz w:val="24"/>
          <w:szCs w:val="24"/>
        </w:rPr>
        <w:t>various indicators</w:t>
      </w:r>
      <w:r>
        <w:rPr>
          <w:rFonts w:ascii="Garamond" w:hAnsi="Garamond"/>
          <w:sz w:val="24"/>
          <w:szCs w:val="24"/>
        </w:rPr>
        <w:t xml:space="preserve">. </w:t>
      </w:r>
    </w:p>
    <w:p w:rsidR="00C462CD" w:rsidRDefault="00C462CD" w:rsidP="00C462CD">
      <w:pPr>
        <w:spacing w:after="0" w:line="240" w:lineRule="auto"/>
        <w:jc w:val="both"/>
        <w:rPr>
          <w:rFonts w:ascii="Garamond" w:hAnsi="Garamond"/>
          <w:sz w:val="24"/>
          <w:szCs w:val="24"/>
        </w:rPr>
      </w:pPr>
    </w:p>
    <w:p w:rsidR="00187CD8" w:rsidRPr="00CC143C" w:rsidRDefault="00722163" w:rsidP="00CC143C">
      <w:pPr>
        <w:pStyle w:val="Heading3"/>
        <w:rPr>
          <w:rFonts w:ascii="Garamond" w:hAnsi="Garamond"/>
          <w:b/>
          <w:i/>
        </w:rPr>
      </w:pPr>
      <w:bookmarkStart w:id="101" w:name="_Toc486782289"/>
      <w:r w:rsidRPr="00CC143C">
        <w:rPr>
          <w:rFonts w:ascii="Garamond" w:hAnsi="Garamond"/>
          <w:b/>
        </w:rPr>
        <w:t>7.3.</w:t>
      </w:r>
      <w:r w:rsidR="00C255B8" w:rsidRPr="00CC143C">
        <w:rPr>
          <w:rFonts w:ascii="Garamond" w:hAnsi="Garamond"/>
          <w:b/>
        </w:rPr>
        <w:t>2</w:t>
      </w:r>
      <w:r w:rsidR="00187CD8" w:rsidRPr="00CC143C">
        <w:rPr>
          <w:rFonts w:ascii="Garamond" w:hAnsi="Garamond"/>
          <w:b/>
        </w:rPr>
        <w:t xml:space="preserve"> Monitoring and reporting</w:t>
      </w:r>
      <w:bookmarkEnd w:id="101"/>
    </w:p>
    <w:p w:rsidR="00187CD8" w:rsidRDefault="00187CD8" w:rsidP="00C462CD">
      <w:pPr>
        <w:spacing w:after="0" w:line="240" w:lineRule="auto"/>
        <w:jc w:val="both"/>
      </w:pPr>
    </w:p>
    <w:p w:rsidR="00B43EF7" w:rsidRDefault="00B43EF7" w:rsidP="00B43EF7">
      <w:pPr>
        <w:spacing w:after="0" w:line="240" w:lineRule="auto"/>
        <w:jc w:val="both"/>
      </w:pPr>
      <w:r w:rsidRPr="00F61820">
        <w:rPr>
          <w:rFonts w:ascii="Garamond" w:hAnsi="Garamond"/>
          <w:sz w:val="24"/>
          <w:szCs w:val="24"/>
        </w:rPr>
        <w:t xml:space="preserve">The  Government  of  Ethiopia  and  Development Assistance  Group  (DAG)  have  established  dialogue architecture to facilitate dialogue and </w:t>
      </w:r>
      <w:r>
        <w:rPr>
          <w:rFonts w:ascii="Garamond" w:hAnsi="Garamond"/>
          <w:sz w:val="24"/>
          <w:szCs w:val="24"/>
        </w:rPr>
        <w:t>deepen p</w:t>
      </w:r>
      <w:r w:rsidRPr="00F61820">
        <w:rPr>
          <w:rFonts w:ascii="Garamond" w:hAnsi="Garamond"/>
          <w:sz w:val="24"/>
          <w:szCs w:val="24"/>
        </w:rPr>
        <w:t xml:space="preserve">artnership. The joint government-donor coordination structure consists of the High Level Forum (focuses on policy, strategic and cross-cutting issues), the Development Effectiveness Taskforce (targets aid effectiveness), and Sector </w:t>
      </w:r>
      <w:r w:rsidRPr="00F61820">
        <w:rPr>
          <w:rFonts w:ascii="Garamond" w:hAnsi="Garamond"/>
          <w:sz w:val="24"/>
          <w:szCs w:val="24"/>
        </w:rPr>
        <w:lastRenderedPageBreak/>
        <w:t>Working Group (deals with sectoral strategic and implementation issues).</w:t>
      </w:r>
      <w:r w:rsidRPr="00B539C5">
        <w:t xml:space="preserve"> </w:t>
      </w:r>
      <w:r>
        <w:rPr>
          <w:rFonts w:ascii="Garamond" w:hAnsi="Garamond"/>
          <w:sz w:val="24"/>
          <w:szCs w:val="24"/>
        </w:rPr>
        <w:t>However, t</w:t>
      </w:r>
      <w:r w:rsidRPr="00E305C4">
        <w:rPr>
          <w:rFonts w:ascii="Garamond" w:hAnsi="Garamond"/>
          <w:sz w:val="24"/>
          <w:szCs w:val="24"/>
        </w:rPr>
        <w:t xml:space="preserve">he participation of private foundations in the government-donor coordination structure is so far limited. </w:t>
      </w:r>
      <w:r>
        <w:rPr>
          <w:rFonts w:ascii="Garamond" w:hAnsi="Garamond"/>
          <w:sz w:val="24"/>
          <w:szCs w:val="24"/>
        </w:rPr>
        <w:t>It will be useful to introduce a similar arrangement for private foundations to enhance coordination and ensure alignment of progammes.</w:t>
      </w:r>
    </w:p>
    <w:p w:rsidR="0063258E" w:rsidRDefault="0063258E" w:rsidP="00C462CD">
      <w:pPr>
        <w:spacing w:after="0" w:line="240" w:lineRule="auto"/>
        <w:jc w:val="both"/>
        <w:rPr>
          <w:rFonts w:ascii="Garamond" w:hAnsi="Garamond"/>
          <w:sz w:val="24"/>
          <w:szCs w:val="24"/>
        </w:rPr>
      </w:pPr>
    </w:p>
    <w:p w:rsidR="00187CD8" w:rsidRDefault="00187CD8" w:rsidP="00C462CD">
      <w:pPr>
        <w:spacing w:after="0" w:line="240" w:lineRule="auto"/>
        <w:jc w:val="both"/>
        <w:rPr>
          <w:rFonts w:ascii="Garamond" w:hAnsi="Garamond"/>
          <w:sz w:val="24"/>
          <w:szCs w:val="24"/>
        </w:rPr>
      </w:pPr>
      <w:r w:rsidRPr="006A32EC">
        <w:rPr>
          <w:rFonts w:ascii="Garamond" w:hAnsi="Garamond"/>
          <w:sz w:val="24"/>
          <w:szCs w:val="24"/>
        </w:rPr>
        <w:t xml:space="preserve">The monitoring and </w:t>
      </w:r>
      <w:r>
        <w:rPr>
          <w:rFonts w:ascii="Garamond" w:hAnsi="Garamond"/>
          <w:sz w:val="24"/>
          <w:szCs w:val="24"/>
        </w:rPr>
        <w:t xml:space="preserve">reporting </w:t>
      </w:r>
      <w:r w:rsidRPr="006A32EC">
        <w:rPr>
          <w:rFonts w:ascii="Garamond" w:hAnsi="Garamond"/>
          <w:sz w:val="24"/>
          <w:szCs w:val="24"/>
        </w:rPr>
        <w:t>(M</w:t>
      </w:r>
      <w:r>
        <w:rPr>
          <w:rFonts w:ascii="Garamond" w:hAnsi="Garamond"/>
          <w:sz w:val="24"/>
          <w:szCs w:val="24"/>
        </w:rPr>
        <w:t>&amp;R</w:t>
      </w:r>
      <w:r w:rsidRPr="006A32EC">
        <w:rPr>
          <w:rFonts w:ascii="Garamond" w:hAnsi="Garamond"/>
          <w:sz w:val="24"/>
          <w:szCs w:val="24"/>
        </w:rPr>
        <w:t xml:space="preserve">) of implementing the AAAA </w:t>
      </w:r>
      <w:r w:rsidR="00D26889">
        <w:rPr>
          <w:rFonts w:ascii="Garamond" w:hAnsi="Garamond"/>
          <w:sz w:val="24"/>
          <w:szCs w:val="24"/>
        </w:rPr>
        <w:t xml:space="preserve">roadmap </w:t>
      </w:r>
      <w:r>
        <w:rPr>
          <w:rFonts w:ascii="Garamond" w:hAnsi="Garamond"/>
          <w:sz w:val="24"/>
          <w:szCs w:val="24"/>
        </w:rPr>
        <w:t xml:space="preserve">shall </w:t>
      </w:r>
      <w:r w:rsidRPr="006A32EC">
        <w:rPr>
          <w:rFonts w:ascii="Garamond" w:hAnsi="Garamond"/>
          <w:sz w:val="24"/>
          <w:szCs w:val="24"/>
        </w:rPr>
        <w:t>follow the standard requirements and procedures</w:t>
      </w:r>
      <w:r>
        <w:rPr>
          <w:rFonts w:ascii="Garamond" w:hAnsi="Garamond"/>
          <w:sz w:val="24"/>
          <w:szCs w:val="24"/>
        </w:rPr>
        <w:t xml:space="preserve"> to </w:t>
      </w:r>
      <w:r w:rsidRPr="006A32EC">
        <w:rPr>
          <w:rFonts w:ascii="Garamond" w:hAnsi="Garamond"/>
          <w:sz w:val="24"/>
          <w:szCs w:val="24"/>
        </w:rPr>
        <w:t>ensure accountability, transparency and monitoring of progress and achievements.</w:t>
      </w:r>
      <w:r w:rsidRPr="00E101C9">
        <w:t xml:space="preserve"> </w:t>
      </w:r>
      <w:r w:rsidRPr="00902848">
        <w:rPr>
          <w:rFonts w:ascii="Garamond" w:hAnsi="Garamond"/>
          <w:sz w:val="24"/>
          <w:szCs w:val="24"/>
        </w:rPr>
        <w:t>Note that</w:t>
      </w:r>
      <w:r>
        <w:t xml:space="preserve"> </w:t>
      </w:r>
      <w:r w:rsidRPr="00AE284B">
        <w:rPr>
          <w:rFonts w:ascii="Garamond" w:hAnsi="Garamond"/>
          <w:sz w:val="24"/>
          <w:szCs w:val="24"/>
        </w:rPr>
        <w:t>m</w:t>
      </w:r>
      <w:r w:rsidRPr="00E101C9">
        <w:rPr>
          <w:rFonts w:ascii="Garamond" w:hAnsi="Garamond"/>
          <w:sz w:val="24"/>
          <w:szCs w:val="24"/>
        </w:rPr>
        <w:t xml:space="preserve">onitoring and </w:t>
      </w:r>
      <w:r>
        <w:rPr>
          <w:rFonts w:ascii="Garamond" w:hAnsi="Garamond"/>
          <w:sz w:val="24"/>
          <w:szCs w:val="24"/>
        </w:rPr>
        <w:t xml:space="preserve">reporting </w:t>
      </w:r>
      <w:r w:rsidRPr="00E101C9">
        <w:rPr>
          <w:rFonts w:ascii="Garamond" w:hAnsi="Garamond"/>
          <w:sz w:val="24"/>
          <w:szCs w:val="24"/>
        </w:rPr>
        <w:t xml:space="preserve">of the </w:t>
      </w:r>
      <w:r>
        <w:rPr>
          <w:rFonts w:ascii="Garamond" w:hAnsi="Garamond"/>
          <w:sz w:val="24"/>
          <w:szCs w:val="24"/>
        </w:rPr>
        <w:t>AAAA</w:t>
      </w:r>
      <w:r w:rsidRPr="00E101C9">
        <w:rPr>
          <w:rFonts w:ascii="Garamond" w:hAnsi="Garamond"/>
          <w:sz w:val="24"/>
          <w:szCs w:val="24"/>
        </w:rPr>
        <w:t xml:space="preserve"> </w:t>
      </w:r>
      <w:r>
        <w:rPr>
          <w:rFonts w:ascii="Garamond" w:hAnsi="Garamond"/>
          <w:sz w:val="24"/>
          <w:szCs w:val="24"/>
        </w:rPr>
        <w:t xml:space="preserve">roadmap </w:t>
      </w:r>
      <w:r w:rsidRPr="00E101C9">
        <w:rPr>
          <w:rFonts w:ascii="Garamond" w:hAnsi="Garamond"/>
          <w:sz w:val="24"/>
          <w:szCs w:val="24"/>
        </w:rPr>
        <w:t>i</w:t>
      </w:r>
      <w:r>
        <w:rPr>
          <w:rFonts w:ascii="Garamond" w:hAnsi="Garamond"/>
          <w:sz w:val="24"/>
          <w:szCs w:val="24"/>
        </w:rPr>
        <w:t xml:space="preserve">s the responsibility of all partners involved in its implementation. To this end, there is a need to establish the AAAA Task Force as part of the dialogue architecture between the government of Ethiopia and development partners. The AAAA task force needs to establish a Monitoring and Reporting </w:t>
      </w:r>
      <w:r w:rsidRPr="00E101C9">
        <w:rPr>
          <w:rFonts w:ascii="Garamond" w:hAnsi="Garamond"/>
          <w:sz w:val="24"/>
          <w:szCs w:val="24"/>
        </w:rPr>
        <w:t>(M</w:t>
      </w:r>
      <w:r>
        <w:rPr>
          <w:rFonts w:ascii="Garamond" w:hAnsi="Garamond"/>
          <w:sz w:val="24"/>
          <w:szCs w:val="24"/>
        </w:rPr>
        <w:t>&amp;R</w:t>
      </w:r>
      <w:r w:rsidRPr="00E101C9">
        <w:rPr>
          <w:rFonts w:ascii="Garamond" w:hAnsi="Garamond"/>
          <w:sz w:val="24"/>
          <w:szCs w:val="24"/>
        </w:rPr>
        <w:t>) Working Group</w:t>
      </w:r>
      <w:r>
        <w:rPr>
          <w:rFonts w:ascii="Garamond" w:hAnsi="Garamond"/>
          <w:sz w:val="24"/>
          <w:szCs w:val="24"/>
        </w:rPr>
        <w:t xml:space="preserve"> (M&amp;RWG) to provide advisory and </w:t>
      </w:r>
      <w:r w:rsidRPr="00955944">
        <w:rPr>
          <w:rFonts w:ascii="Garamond" w:hAnsi="Garamond"/>
          <w:sz w:val="24"/>
          <w:szCs w:val="24"/>
        </w:rPr>
        <w:t>capacity development support</w:t>
      </w:r>
      <w:r>
        <w:rPr>
          <w:rFonts w:ascii="Garamond" w:hAnsi="Garamond"/>
          <w:sz w:val="24"/>
          <w:szCs w:val="24"/>
        </w:rPr>
        <w:t xml:space="preserve"> for effective implementation of the roadmap. The M&amp;RWG shall comprise</w:t>
      </w:r>
      <w:r w:rsidRPr="00E101C9">
        <w:rPr>
          <w:rFonts w:ascii="Garamond" w:hAnsi="Garamond"/>
          <w:sz w:val="24"/>
          <w:szCs w:val="24"/>
        </w:rPr>
        <w:t xml:space="preserve"> of </w:t>
      </w:r>
      <w:r w:rsidRPr="008A22F0">
        <w:rPr>
          <w:rFonts w:ascii="Garamond" w:hAnsi="Garamond"/>
          <w:sz w:val="24"/>
          <w:szCs w:val="24"/>
        </w:rPr>
        <w:t xml:space="preserve">specialists </w:t>
      </w:r>
      <w:r>
        <w:rPr>
          <w:rFonts w:ascii="Garamond" w:hAnsi="Garamond"/>
          <w:sz w:val="24"/>
          <w:szCs w:val="24"/>
        </w:rPr>
        <w:t xml:space="preserve">with relevant skills in resource mobilization. The M&amp;RWG reports to the High Level Forum on the progress and status of the implementation of the Addis Agenda. </w:t>
      </w:r>
    </w:p>
    <w:p w:rsidR="00171CF3" w:rsidRDefault="00171CF3" w:rsidP="00C462CD">
      <w:pPr>
        <w:spacing w:after="0" w:line="240" w:lineRule="auto"/>
        <w:jc w:val="both"/>
        <w:rPr>
          <w:rFonts w:ascii="Garamond" w:hAnsi="Garamond"/>
          <w:sz w:val="24"/>
          <w:szCs w:val="24"/>
        </w:rPr>
      </w:pPr>
    </w:p>
    <w:p w:rsidR="00BF215A" w:rsidRDefault="00B24270" w:rsidP="00C462CD">
      <w:pPr>
        <w:spacing w:after="0" w:line="240" w:lineRule="auto"/>
        <w:jc w:val="both"/>
        <w:rPr>
          <w:rFonts w:ascii="Garamond" w:hAnsi="Garamond"/>
          <w:sz w:val="24"/>
          <w:szCs w:val="24"/>
        </w:rPr>
      </w:pPr>
      <w:r w:rsidRPr="00B24270">
        <w:rPr>
          <w:rFonts w:ascii="Garamond" w:hAnsi="Garamond"/>
          <w:sz w:val="24"/>
          <w:szCs w:val="24"/>
        </w:rPr>
        <w:t xml:space="preserve">Progress will be measured </w:t>
      </w:r>
      <w:r>
        <w:rPr>
          <w:rFonts w:ascii="Garamond" w:hAnsi="Garamond"/>
          <w:sz w:val="24"/>
          <w:szCs w:val="24"/>
        </w:rPr>
        <w:t>through th</w:t>
      </w:r>
      <w:r w:rsidRPr="00B24270">
        <w:rPr>
          <w:rFonts w:ascii="Garamond" w:hAnsi="Garamond"/>
          <w:sz w:val="24"/>
          <w:szCs w:val="24"/>
        </w:rPr>
        <w:t>e annual</w:t>
      </w:r>
      <w:r>
        <w:rPr>
          <w:rFonts w:ascii="Garamond" w:hAnsi="Garamond"/>
          <w:sz w:val="24"/>
          <w:szCs w:val="24"/>
        </w:rPr>
        <w:t xml:space="preserve"> joint </w:t>
      </w:r>
      <w:r w:rsidRPr="00B24270">
        <w:rPr>
          <w:rFonts w:ascii="Garamond" w:hAnsi="Garamond"/>
          <w:sz w:val="24"/>
          <w:szCs w:val="24"/>
        </w:rPr>
        <w:t>monitoring report.</w:t>
      </w:r>
      <w:r>
        <w:rPr>
          <w:rFonts w:ascii="Garamond" w:hAnsi="Garamond"/>
          <w:sz w:val="24"/>
          <w:szCs w:val="24"/>
        </w:rPr>
        <w:t xml:space="preserve"> </w:t>
      </w:r>
      <w:r w:rsidR="00187CD8" w:rsidRPr="00A35F48">
        <w:rPr>
          <w:rFonts w:ascii="Garamond" w:hAnsi="Garamond"/>
          <w:sz w:val="24"/>
          <w:szCs w:val="24"/>
        </w:rPr>
        <w:t xml:space="preserve">In accordance with the </w:t>
      </w:r>
      <w:r w:rsidR="00187CD8">
        <w:rPr>
          <w:rFonts w:ascii="Garamond" w:hAnsi="Garamond"/>
          <w:sz w:val="24"/>
          <w:szCs w:val="24"/>
        </w:rPr>
        <w:t xml:space="preserve">existing practices, </w:t>
      </w:r>
      <w:r w:rsidR="00187CD8" w:rsidRPr="00A35F48">
        <w:rPr>
          <w:rFonts w:ascii="Garamond" w:hAnsi="Garamond"/>
          <w:sz w:val="24"/>
          <w:szCs w:val="24"/>
        </w:rPr>
        <w:t xml:space="preserve">activities such as the </w:t>
      </w:r>
      <w:r w:rsidR="00187CD8">
        <w:rPr>
          <w:rFonts w:ascii="Garamond" w:hAnsi="Garamond"/>
          <w:sz w:val="24"/>
          <w:szCs w:val="24"/>
        </w:rPr>
        <w:t>joint a</w:t>
      </w:r>
      <w:r w:rsidR="00187CD8" w:rsidRPr="00A35F48">
        <w:rPr>
          <w:rFonts w:ascii="Garamond" w:hAnsi="Garamond"/>
          <w:sz w:val="24"/>
          <w:szCs w:val="24"/>
        </w:rPr>
        <w:t>nnual review</w:t>
      </w:r>
      <w:r w:rsidR="00187CD8">
        <w:rPr>
          <w:rFonts w:ascii="Garamond" w:hAnsi="Garamond"/>
          <w:sz w:val="24"/>
          <w:szCs w:val="24"/>
        </w:rPr>
        <w:t>/</w:t>
      </w:r>
      <w:r w:rsidR="00187CD8" w:rsidRPr="00A35F48">
        <w:rPr>
          <w:rFonts w:ascii="Garamond" w:hAnsi="Garamond"/>
          <w:sz w:val="24"/>
          <w:szCs w:val="24"/>
        </w:rPr>
        <w:t xml:space="preserve">progress report and evaluation will be undertaken in the course of the </w:t>
      </w:r>
      <w:r w:rsidR="00187CD8">
        <w:rPr>
          <w:rFonts w:ascii="Garamond" w:hAnsi="Garamond"/>
          <w:sz w:val="24"/>
          <w:szCs w:val="24"/>
        </w:rPr>
        <w:t xml:space="preserve">joint roadmap </w:t>
      </w:r>
      <w:r w:rsidR="00187CD8" w:rsidRPr="00A35F48">
        <w:rPr>
          <w:rFonts w:ascii="Garamond" w:hAnsi="Garamond"/>
          <w:sz w:val="24"/>
          <w:szCs w:val="24"/>
        </w:rPr>
        <w:t>implementation period.</w:t>
      </w:r>
      <w:r w:rsidR="00187CD8">
        <w:rPr>
          <w:rFonts w:ascii="Garamond" w:hAnsi="Garamond"/>
          <w:sz w:val="24"/>
          <w:szCs w:val="24"/>
        </w:rPr>
        <w:t xml:space="preserve"> </w:t>
      </w:r>
      <w:r w:rsidR="00187CD8" w:rsidRPr="006810AE">
        <w:rPr>
          <w:rFonts w:ascii="Garamond" w:hAnsi="Garamond"/>
          <w:sz w:val="24"/>
          <w:szCs w:val="24"/>
        </w:rPr>
        <w:t xml:space="preserve">The </w:t>
      </w:r>
      <w:r w:rsidR="00187CD8">
        <w:rPr>
          <w:rFonts w:ascii="Garamond" w:hAnsi="Garamond"/>
          <w:sz w:val="24"/>
          <w:szCs w:val="24"/>
        </w:rPr>
        <w:t>annual reviews</w:t>
      </w:r>
      <w:r w:rsidR="00E60FAE">
        <w:rPr>
          <w:rFonts w:ascii="Garamond" w:hAnsi="Garamond"/>
          <w:sz w:val="24"/>
          <w:szCs w:val="24"/>
        </w:rPr>
        <w:t xml:space="preserve"> and r</w:t>
      </w:r>
      <w:r w:rsidR="00187CD8">
        <w:rPr>
          <w:rFonts w:ascii="Garamond" w:hAnsi="Garamond"/>
          <w:sz w:val="24"/>
          <w:szCs w:val="24"/>
        </w:rPr>
        <w:t xml:space="preserve">eports shall </w:t>
      </w:r>
      <w:r w:rsidR="00187CD8" w:rsidRPr="006810AE">
        <w:rPr>
          <w:rFonts w:ascii="Garamond" w:hAnsi="Garamond"/>
          <w:sz w:val="24"/>
          <w:szCs w:val="24"/>
        </w:rPr>
        <w:t xml:space="preserve">provide </w:t>
      </w:r>
      <w:r w:rsidR="00187CD8">
        <w:rPr>
          <w:rFonts w:ascii="Garamond" w:hAnsi="Garamond"/>
          <w:sz w:val="24"/>
          <w:szCs w:val="24"/>
        </w:rPr>
        <w:t xml:space="preserve">information </w:t>
      </w:r>
      <w:r w:rsidR="00187CD8" w:rsidRPr="006810AE">
        <w:rPr>
          <w:rFonts w:ascii="Garamond" w:hAnsi="Garamond"/>
          <w:sz w:val="24"/>
          <w:szCs w:val="24"/>
        </w:rPr>
        <w:t>on results achieved, challenges and lessons learned.</w:t>
      </w:r>
    </w:p>
    <w:p w:rsidR="004E1F57" w:rsidRPr="0021730A" w:rsidRDefault="004E1F57" w:rsidP="00F35181">
      <w:pPr>
        <w:pStyle w:val="Caption"/>
        <w:rPr>
          <w:rFonts w:ascii="Garamond" w:hAnsi="Garamond"/>
          <w:sz w:val="20"/>
          <w:szCs w:val="20"/>
        </w:rPr>
      </w:pPr>
      <w:bookmarkStart w:id="102" w:name="_Toc486585970"/>
      <w:r w:rsidRPr="0021730A">
        <w:rPr>
          <w:rFonts w:ascii="Garamond" w:hAnsi="Garamond"/>
          <w:sz w:val="20"/>
          <w:szCs w:val="20"/>
        </w:rPr>
        <w:t xml:space="preserve">Figure </w:t>
      </w:r>
      <w:r w:rsidR="00BF3BBC" w:rsidRPr="0021730A">
        <w:rPr>
          <w:rFonts w:ascii="Garamond" w:hAnsi="Garamond"/>
          <w:sz w:val="20"/>
          <w:szCs w:val="20"/>
        </w:rPr>
        <w:fldChar w:fldCharType="begin"/>
      </w:r>
      <w:r w:rsidRPr="0021730A">
        <w:rPr>
          <w:rFonts w:ascii="Garamond" w:hAnsi="Garamond"/>
          <w:sz w:val="20"/>
          <w:szCs w:val="20"/>
        </w:rPr>
        <w:instrText xml:space="preserve"> SEQ Figure \* ARABIC </w:instrText>
      </w:r>
      <w:r w:rsidR="00BF3BBC" w:rsidRPr="0021730A">
        <w:rPr>
          <w:rFonts w:ascii="Garamond" w:hAnsi="Garamond"/>
          <w:sz w:val="20"/>
          <w:szCs w:val="20"/>
        </w:rPr>
        <w:fldChar w:fldCharType="separate"/>
      </w:r>
      <w:r w:rsidR="006C24A4">
        <w:rPr>
          <w:rFonts w:ascii="Garamond" w:hAnsi="Garamond"/>
          <w:noProof/>
          <w:sz w:val="20"/>
          <w:szCs w:val="20"/>
        </w:rPr>
        <w:t>35</w:t>
      </w:r>
      <w:r w:rsidR="00BF3BBC" w:rsidRPr="0021730A">
        <w:rPr>
          <w:rFonts w:ascii="Garamond" w:hAnsi="Garamond"/>
          <w:sz w:val="20"/>
          <w:szCs w:val="20"/>
        </w:rPr>
        <w:fldChar w:fldCharType="end"/>
      </w:r>
      <w:r w:rsidRPr="0021730A">
        <w:rPr>
          <w:rFonts w:ascii="Garamond" w:hAnsi="Garamond"/>
          <w:sz w:val="20"/>
          <w:szCs w:val="20"/>
        </w:rPr>
        <w:t xml:space="preserve">: </w:t>
      </w:r>
      <w:r w:rsidR="00626AA1" w:rsidRPr="0021730A">
        <w:rPr>
          <w:rFonts w:ascii="Garamond" w:hAnsi="Garamond"/>
          <w:sz w:val="20"/>
          <w:szCs w:val="20"/>
        </w:rPr>
        <w:t>Incorporating t</w:t>
      </w:r>
      <w:r w:rsidRPr="0021730A">
        <w:rPr>
          <w:rFonts w:ascii="Garamond" w:hAnsi="Garamond"/>
          <w:sz w:val="20"/>
          <w:szCs w:val="20"/>
        </w:rPr>
        <w:t>he AAAA task force into the Government-development partner’s dialogue architecture</w:t>
      </w:r>
      <w:bookmarkEnd w:id="102"/>
      <w:r w:rsidRPr="0021730A">
        <w:rPr>
          <w:rFonts w:ascii="Garamond" w:hAnsi="Garamond"/>
          <w:sz w:val="20"/>
          <w:szCs w:val="20"/>
        </w:rPr>
        <w:t xml:space="preserve">  </w:t>
      </w:r>
    </w:p>
    <w:p w:rsidR="007A3940" w:rsidRPr="007A3940" w:rsidRDefault="007A3940" w:rsidP="007A3940">
      <w:pPr>
        <w:spacing w:after="0" w:line="240" w:lineRule="auto"/>
        <w:rPr>
          <w:lang w:val="en-GB" w:eastAsia="en-GB"/>
        </w:rPr>
      </w:pPr>
      <w:r w:rsidRPr="007A3940">
        <w:rPr>
          <w:noProof/>
        </w:rPr>
        <w:drawing>
          <wp:inline distT="0" distB="0" distL="0" distR="0">
            <wp:extent cx="5377543" cy="2263691"/>
            <wp:effectExtent l="0" t="0" r="0" b="381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stretch>
                      <a:fillRect/>
                    </a:stretch>
                  </pic:blipFill>
                  <pic:spPr>
                    <a:xfrm>
                      <a:off x="0" y="0"/>
                      <a:ext cx="5389994" cy="2268932"/>
                    </a:xfrm>
                    <a:prstGeom prst="rect">
                      <a:avLst/>
                    </a:prstGeom>
                  </pic:spPr>
                </pic:pic>
              </a:graphicData>
            </a:graphic>
          </wp:inline>
        </w:drawing>
      </w:r>
    </w:p>
    <w:p w:rsidR="00B25E52" w:rsidRDefault="00EE7828" w:rsidP="009A66FA">
      <w:pPr>
        <w:rPr>
          <w:rFonts w:ascii="Garamond" w:hAnsi="Garamond"/>
          <w:sz w:val="20"/>
          <w:szCs w:val="20"/>
          <w:lang w:val="en-GB" w:eastAsia="en-GB"/>
        </w:rPr>
      </w:pPr>
      <w:r w:rsidRPr="00EE7828">
        <w:rPr>
          <w:rFonts w:ascii="Garamond" w:hAnsi="Garamond"/>
          <w:sz w:val="20"/>
          <w:szCs w:val="20"/>
          <w:lang w:val="en-GB" w:eastAsia="en-GB"/>
        </w:rPr>
        <w:t xml:space="preserve">Source: Own construction </w:t>
      </w:r>
    </w:p>
    <w:p w:rsidR="00B25E52" w:rsidRDefault="00B25E52" w:rsidP="00B25E52">
      <w:pPr>
        <w:rPr>
          <w:lang w:val="en-GB" w:eastAsia="en-GB"/>
        </w:rPr>
      </w:pPr>
      <w:r>
        <w:rPr>
          <w:lang w:val="en-GB" w:eastAsia="en-GB"/>
        </w:rPr>
        <w:br w:type="page"/>
      </w:r>
    </w:p>
    <w:p w:rsidR="00187CD8" w:rsidRPr="00CC00DD" w:rsidRDefault="00187CD8" w:rsidP="00CC00DD">
      <w:pPr>
        <w:pStyle w:val="Caption"/>
        <w:spacing w:after="0"/>
        <w:rPr>
          <w:rFonts w:ascii="Garamond" w:hAnsi="Garamond" w:cs="Times New Roman"/>
          <w:sz w:val="24"/>
          <w:szCs w:val="24"/>
        </w:rPr>
      </w:pPr>
      <w:bookmarkStart w:id="103" w:name="_Toc486585975"/>
      <w:r w:rsidRPr="00CC00DD">
        <w:rPr>
          <w:rFonts w:ascii="Garamond" w:hAnsi="Garamond"/>
          <w:sz w:val="24"/>
          <w:szCs w:val="24"/>
        </w:rPr>
        <w:lastRenderedPageBreak/>
        <w:t>Table</w:t>
      </w:r>
      <w:r w:rsidR="00051FC4" w:rsidRPr="00CC00DD">
        <w:rPr>
          <w:rFonts w:ascii="Garamond" w:hAnsi="Garamond"/>
          <w:sz w:val="24"/>
          <w:szCs w:val="24"/>
        </w:rPr>
        <w:t xml:space="preserve"> </w:t>
      </w:r>
      <w:r w:rsidR="00BF3BBC" w:rsidRPr="00CC00DD">
        <w:rPr>
          <w:rFonts w:ascii="Garamond" w:hAnsi="Garamond"/>
          <w:sz w:val="24"/>
          <w:szCs w:val="24"/>
        </w:rPr>
        <w:fldChar w:fldCharType="begin"/>
      </w:r>
      <w:r w:rsidR="00051FC4" w:rsidRPr="00CC00DD">
        <w:rPr>
          <w:rFonts w:ascii="Garamond" w:hAnsi="Garamond"/>
          <w:sz w:val="24"/>
          <w:szCs w:val="24"/>
        </w:rPr>
        <w:instrText xml:space="preserve"> SEQ Table \* ARABIC </w:instrText>
      </w:r>
      <w:r w:rsidR="00BF3BBC" w:rsidRPr="00CC00DD">
        <w:rPr>
          <w:rFonts w:ascii="Garamond" w:hAnsi="Garamond"/>
          <w:sz w:val="24"/>
          <w:szCs w:val="24"/>
        </w:rPr>
        <w:fldChar w:fldCharType="separate"/>
      </w:r>
      <w:r w:rsidR="00051FC4" w:rsidRPr="00CC00DD">
        <w:rPr>
          <w:rFonts w:ascii="Garamond" w:hAnsi="Garamond"/>
          <w:noProof/>
          <w:sz w:val="24"/>
          <w:szCs w:val="24"/>
        </w:rPr>
        <w:t>5</w:t>
      </w:r>
      <w:r w:rsidR="00BF3BBC" w:rsidRPr="00CC00DD">
        <w:rPr>
          <w:rFonts w:ascii="Garamond" w:hAnsi="Garamond"/>
          <w:sz w:val="24"/>
          <w:szCs w:val="24"/>
        </w:rPr>
        <w:fldChar w:fldCharType="end"/>
      </w:r>
      <w:r w:rsidRPr="00CC00DD">
        <w:rPr>
          <w:rFonts w:ascii="Garamond" w:hAnsi="Garamond"/>
          <w:sz w:val="24"/>
          <w:szCs w:val="24"/>
        </w:rPr>
        <w:t>: Matrix of intervention</w:t>
      </w:r>
      <w:bookmarkEnd w:id="103"/>
      <w:r w:rsidRPr="00CC00DD">
        <w:rPr>
          <w:rFonts w:ascii="Garamond" w:hAnsi="Garamond"/>
          <w:sz w:val="24"/>
          <w:szCs w:val="24"/>
        </w:rPr>
        <w:t xml:space="preserve"> </w:t>
      </w:r>
    </w:p>
    <w:tbl>
      <w:tblPr>
        <w:tblW w:w="10505" w:type="dxa"/>
        <w:tblInd w:w="140" w:type="dxa"/>
        <w:tblLayout w:type="fixed"/>
        <w:tblLook w:val="04A0" w:firstRow="1" w:lastRow="0" w:firstColumn="1" w:lastColumn="0" w:noHBand="0" w:noVBand="1"/>
      </w:tblPr>
      <w:tblGrid>
        <w:gridCol w:w="720"/>
        <w:gridCol w:w="2562"/>
        <w:gridCol w:w="2183"/>
        <w:gridCol w:w="630"/>
        <w:gridCol w:w="630"/>
        <w:gridCol w:w="630"/>
        <w:gridCol w:w="576"/>
        <w:gridCol w:w="1710"/>
        <w:gridCol w:w="236"/>
        <w:gridCol w:w="628"/>
      </w:tblGrid>
      <w:tr w:rsidR="00CE4FCD" w:rsidRPr="00F2489D" w:rsidTr="00441C11">
        <w:trPr>
          <w:gridAfter w:val="1"/>
          <w:wAfter w:w="628" w:type="dxa"/>
          <w:trHeight w:val="312"/>
        </w:trPr>
        <w:tc>
          <w:tcPr>
            <w:tcW w:w="720" w:type="dxa"/>
            <w:tcBorders>
              <w:top w:val="nil"/>
              <w:left w:val="nil"/>
              <w:bottom w:val="nil"/>
              <w:right w:val="nil"/>
            </w:tcBorders>
            <w:shd w:val="clear" w:color="auto" w:fill="auto"/>
            <w:noWrap/>
            <w:vAlign w:val="bottom"/>
            <w:hideMark/>
          </w:tcPr>
          <w:p w:rsidR="00CE4FCD" w:rsidRPr="00F2489D" w:rsidRDefault="00CE4FCD" w:rsidP="00171CF3">
            <w:pPr>
              <w:spacing w:after="0" w:line="240" w:lineRule="auto"/>
              <w:rPr>
                <w:rFonts w:ascii="Garamond" w:hAnsi="Garamond"/>
                <w:sz w:val="18"/>
                <w:szCs w:val="18"/>
              </w:rPr>
            </w:pPr>
            <w:bookmarkStart w:id="104" w:name="RANGE!A1:H180"/>
            <w:bookmarkEnd w:id="104"/>
          </w:p>
        </w:tc>
        <w:tc>
          <w:tcPr>
            <w:tcW w:w="7211" w:type="dxa"/>
            <w:gridSpan w:val="6"/>
            <w:tcBorders>
              <w:top w:val="single" w:sz="4" w:space="0" w:color="auto"/>
              <w:left w:val="single" w:sz="4" w:space="0" w:color="auto"/>
              <w:bottom w:val="nil"/>
              <w:right w:val="single" w:sz="4" w:space="0" w:color="auto"/>
            </w:tcBorders>
            <w:shd w:val="clear" w:color="auto" w:fill="auto"/>
            <w:noWrap/>
            <w:vAlign w:val="bottom"/>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 xml:space="preserve">Matrix of interventions </w:t>
            </w:r>
          </w:p>
        </w:tc>
        <w:tc>
          <w:tcPr>
            <w:tcW w:w="1710" w:type="dxa"/>
            <w:tcBorders>
              <w:top w:val="single" w:sz="4" w:space="0" w:color="auto"/>
              <w:left w:val="nil"/>
              <w:bottom w:val="nil"/>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 </w:t>
            </w:r>
          </w:p>
        </w:tc>
        <w:tc>
          <w:tcPr>
            <w:tcW w:w="236" w:type="dxa"/>
            <w:tcBorders>
              <w:top w:val="single" w:sz="4" w:space="0" w:color="auto"/>
              <w:left w:val="nil"/>
              <w:bottom w:val="nil"/>
              <w:right w:val="single" w:sz="4" w:space="0" w:color="auto"/>
            </w:tcBorders>
          </w:tcPr>
          <w:p w:rsidR="00CE4FCD" w:rsidRPr="00F2489D" w:rsidRDefault="00CE4FCD" w:rsidP="00171CF3">
            <w:pPr>
              <w:spacing w:after="0" w:line="240" w:lineRule="auto"/>
              <w:rPr>
                <w:rFonts w:ascii="Garamond" w:hAnsi="Garamond"/>
                <w:b/>
                <w:bCs/>
                <w:color w:val="000000"/>
                <w:sz w:val="18"/>
                <w:szCs w:val="18"/>
              </w:rPr>
            </w:pPr>
          </w:p>
        </w:tc>
      </w:tr>
      <w:tr w:rsidR="00CE4FCD" w:rsidRPr="00F2489D" w:rsidTr="00441C11">
        <w:trPr>
          <w:trHeight w:val="6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No</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 xml:space="preserve">Key results </w:t>
            </w:r>
            <w:r>
              <w:rPr>
                <w:rFonts w:ascii="Garamond" w:hAnsi="Garamond"/>
                <w:b/>
                <w:bCs/>
                <w:color w:val="000000"/>
                <w:sz w:val="18"/>
                <w:szCs w:val="18"/>
              </w:rPr>
              <w:t xml:space="preserve">and interventions </w:t>
            </w:r>
            <w:r w:rsidRPr="00F2489D">
              <w:rPr>
                <w:rFonts w:ascii="Garamond" w:hAnsi="Garamond"/>
                <w:b/>
                <w:bCs/>
                <w:color w:val="000000"/>
                <w:sz w:val="18"/>
                <w:szCs w:val="18"/>
              </w:rPr>
              <w:t>by pillar</w:t>
            </w:r>
          </w:p>
        </w:tc>
        <w:tc>
          <w:tcPr>
            <w:tcW w:w="21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Indicators</w:t>
            </w:r>
          </w:p>
        </w:tc>
        <w:tc>
          <w:tcPr>
            <w:tcW w:w="2466" w:type="dxa"/>
            <w:gridSpan w:val="4"/>
            <w:tcBorders>
              <w:top w:val="single" w:sz="4" w:space="0" w:color="auto"/>
              <w:left w:val="nil"/>
              <w:bottom w:val="single" w:sz="4" w:space="0" w:color="auto"/>
              <w:right w:val="single" w:sz="4" w:space="0" w:color="auto"/>
            </w:tcBorders>
            <w:shd w:val="clear" w:color="auto" w:fill="auto"/>
            <w:noWrap/>
            <w:vAlign w:val="bottom"/>
            <w:hideMark/>
          </w:tcPr>
          <w:p w:rsidR="00CE4FCD" w:rsidRPr="00F2489D" w:rsidRDefault="00CE4FCD" w:rsidP="006B7610">
            <w:pPr>
              <w:spacing w:after="0" w:line="240" w:lineRule="auto"/>
              <w:jc w:val="center"/>
              <w:rPr>
                <w:rFonts w:ascii="Garamond" w:hAnsi="Garamond"/>
                <w:b/>
                <w:bCs/>
                <w:color w:val="000000"/>
                <w:sz w:val="18"/>
                <w:szCs w:val="18"/>
              </w:rPr>
            </w:pPr>
            <w:r>
              <w:rPr>
                <w:rFonts w:ascii="Garamond" w:hAnsi="Garamond"/>
                <w:b/>
                <w:bCs/>
                <w:color w:val="000000"/>
                <w:sz w:val="18"/>
                <w:szCs w:val="18"/>
              </w:rPr>
              <w:t>Implementation period</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Responsible institutions</w:t>
            </w:r>
          </w:p>
        </w:tc>
        <w:tc>
          <w:tcPr>
            <w:tcW w:w="864" w:type="dxa"/>
            <w:gridSpan w:val="2"/>
            <w:vMerge w:val="restart"/>
            <w:tcBorders>
              <w:top w:val="single" w:sz="4" w:space="0" w:color="auto"/>
              <w:left w:val="single" w:sz="4" w:space="0" w:color="auto"/>
              <w:right w:val="single" w:sz="4" w:space="0" w:color="auto"/>
            </w:tcBorders>
          </w:tcPr>
          <w:p w:rsidR="00CE4FCD" w:rsidRPr="00F2489D" w:rsidRDefault="00CE4FCD" w:rsidP="00171CF3">
            <w:pPr>
              <w:spacing w:after="0" w:line="240" w:lineRule="auto"/>
              <w:jc w:val="center"/>
              <w:rPr>
                <w:rFonts w:ascii="Garamond" w:hAnsi="Garamond"/>
                <w:b/>
                <w:bCs/>
                <w:color w:val="000000"/>
                <w:sz w:val="18"/>
                <w:szCs w:val="18"/>
              </w:rPr>
            </w:pPr>
          </w:p>
        </w:tc>
      </w:tr>
      <w:tr w:rsidR="00CE4FCD" w:rsidRPr="00F2489D" w:rsidTr="00441C11">
        <w:trPr>
          <w:trHeight w:val="31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2017</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2018</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2019</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2020</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864" w:type="dxa"/>
            <w:gridSpan w:val="2"/>
            <w:vMerge/>
            <w:tcBorders>
              <w:left w:val="single" w:sz="4" w:space="0" w:color="auto"/>
              <w:bottom w:val="single" w:sz="4" w:space="0" w:color="auto"/>
              <w:right w:val="single" w:sz="4" w:space="0" w:color="auto"/>
            </w:tcBorders>
          </w:tcPr>
          <w:p w:rsidR="00CE4FCD" w:rsidRPr="00F2489D" w:rsidRDefault="00CE4FCD" w:rsidP="00171CF3">
            <w:pPr>
              <w:spacing w:after="0" w:line="240" w:lineRule="auto"/>
              <w:rPr>
                <w:rFonts w:ascii="Garamond" w:hAnsi="Garamond"/>
                <w:b/>
                <w:bCs/>
                <w:color w:val="000000"/>
                <w:sz w:val="18"/>
                <w:szCs w:val="18"/>
              </w:rPr>
            </w:pPr>
          </w:p>
        </w:tc>
      </w:tr>
      <w:tr w:rsidR="00CE4FCD" w:rsidRPr="00F2489D" w:rsidTr="00441C11">
        <w:trPr>
          <w:trHeight w:val="368"/>
        </w:trPr>
        <w:tc>
          <w:tcPr>
            <w:tcW w:w="720" w:type="dxa"/>
            <w:vMerge w:val="restart"/>
            <w:tcBorders>
              <w:top w:val="nil"/>
              <w:left w:val="single" w:sz="4" w:space="0" w:color="auto"/>
              <w:bottom w:val="nil"/>
              <w:right w:val="single" w:sz="4" w:space="0" w:color="auto"/>
            </w:tcBorders>
            <w:shd w:val="clear" w:color="000000" w:fill="DCE6F1"/>
            <w:noWrap/>
            <w:hideMark/>
          </w:tcPr>
          <w:p w:rsidR="00CE4FCD" w:rsidRPr="00F2489D" w:rsidRDefault="00CE4FCD" w:rsidP="00171CF3">
            <w:pPr>
              <w:spacing w:after="0" w:line="240" w:lineRule="auto"/>
              <w:jc w:val="right"/>
              <w:rPr>
                <w:rFonts w:ascii="Garamond" w:hAnsi="Garamond"/>
                <w:color w:val="000000"/>
                <w:sz w:val="18"/>
                <w:szCs w:val="18"/>
              </w:rPr>
            </w:pPr>
            <w:r w:rsidRPr="00F2489D">
              <w:rPr>
                <w:rFonts w:ascii="Garamond" w:hAnsi="Garamond"/>
                <w:color w:val="000000"/>
                <w:sz w:val="18"/>
                <w:szCs w:val="18"/>
              </w:rPr>
              <w:t>1</w:t>
            </w:r>
          </w:p>
        </w:tc>
        <w:tc>
          <w:tcPr>
            <w:tcW w:w="2562" w:type="dxa"/>
            <w:vMerge w:val="restart"/>
            <w:tcBorders>
              <w:top w:val="nil"/>
              <w:left w:val="single" w:sz="4" w:space="0" w:color="auto"/>
              <w:bottom w:val="nil"/>
              <w:right w:val="single" w:sz="4" w:space="0" w:color="auto"/>
            </w:tcBorders>
            <w:shd w:val="clear" w:color="000000" w:fill="DCE6F1"/>
            <w:hideMark/>
          </w:tcPr>
          <w:p w:rsidR="00CE4FCD" w:rsidRPr="00F2489D" w:rsidRDefault="00CE4FCD" w:rsidP="00171CF3">
            <w:pPr>
              <w:spacing w:after="0" w:line="240" w:lineRule="auto"/>
              <w:rPr>
                <w:rFonts w:ascii="Garamond" w:hAnsi="Garamond"/>
                <w:sz w:val="18"/>
                <w:szCs w:val="18"/>
              </w:rPr>
            </w:pPr>
            <w:r w:rsidRPr="00F2489D">
              <w:rPr>
                <w:rFonts w:ascii="Garamond" w:hAnsi="Garamond"/>
                <w:b/>
                <w:bCs/>
                <w:sz w:val="18"/>
                <w:szCs w:val="18"/>
              </w:rPr>
              <w:t>Outcome 1:</w:t>
            </w:r>
            <w:r w:rsidRPr="00F2489D">
              <w:rPr>
                <w:rFonts w:ascii="Garamond" w:hAnsi="Garamond"/>
                <w:sz w:val="18"/>
                <w:szCs w:val="18"/>
              </w:rPr>
              <w:t xml:space="preserve"> Domestic resource mobilization system strengthened at all levels (federal, regional and Woreda) and supported the national development efforts</w:t>
            </w:r>
          </w:p>
        </w:tc>
        <w:tc>
          <w:tcPr>
            <w:tcW w:w="2183" w:type="dxa"/>
            <w:tcBorders>
              <w:top w:val="nil"/>
              <w:left w:val="nil"/>
              <w:bottom w:val="single" w:sz="4" w:space="0" w:color="auto"/>
              <w:right w:val="single" w:sz="4" w:space="0" w:color="auto"/>
            </w:tcBorders>
            <w:shd w:val="clear" w:color="000000" w:fill="DCE6F1"/>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Number of relevant policies revised, strengthened/developed and enforced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288"/>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sz w:val="18"/>
                <w:szCs w:val="18"/>
              </w:rPr>
            </w:pPr>
          </w:p>
        </w:tc>
        <w:tc>
          <w:tcPr>
            <w:tcW w:w="2183" w:type="dxa"/>
            <w:tcBorders>
              <w:top w:val="nil"/>
              <w:left w:val="nil"/>
              <w:bottom w:val="single" w:sz="4" w:space="0" w:color="auto"/>
              <w:right w:val="single" w:sz="4" w:space="0" w:color="auto"/>
            </w:tcBorders>
            <w:shd w:val="clear" w:color="000000" w:fill="DCE6F1"/>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Revenue administration systems revised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E93579" w:rsidRPr="00F2489D" w:rsidTr="00441C11">
        <w:trPr>
          <w:trHeight w:val="288"/>
        </w:trPr>
        <w:tc>
          <w:tcPr>
            <w:tcW w:w="720" w:type="dxa"/>
            <w:vMerge/>
            <w:tcBorders>
              <w:top w:val="nil"/>
              <w:left w:val="single" w:sz="4" w:space="0" w:color="auto"/>
              <w:bottom w:val="nil"/>
              <w:right w:val="single" w:sz="4" w:space="0" w:color="auto"/>
            </w:tcBorders>
            <w:vAlign w:val="center"/>
          </w:tcPr>
          <w:p w:rsidR="00E93579" w:rsidRPr="00F2489D" w:rsidRDefault="00E93579" w:rsidP="00171CF3">
            <w:pPr>
              <w:spacing w:after="0" w:line="240" w:lineRule="auto"/>
              <w:rPr>
                <w:rFonts w:ascii="Garamond" w:hAnsi="Garamond"/>
                <w:color w:val="000000"/>
                <w:sz w:val="18"/>
                <w:szCs w:val="18"/>
              </w:rPr>
            </w:pPr>
          </w:p>
        </w:tc>
        <w:tc>
          <w:tcPr>
            <w:tcW w:w="2562" w:type="dxa"/>
            <w:vMerge/>
            <w:tcBorders>
              <w:top w:val="nil"/>
              <w:left w:val="single" w:sz="4" w:space="0" w:color="auto"/>
              <w:bottom w:val="nil"/>
              <w:right w:val="single" w:sz="4" w:space="0" w:color="auto"/>
            </w:tcBorders>
            <w:vAlign w:val="center"/>
          </w:tcPr>
          <w:p w:rsidR="00E93579" w:rsidRPr="00F2489D" w:rsidRDefault="00E93579" w:rsidP="00171CF3">
            <w:pPr>
              <w:spacing w:after="0" w:line="240" w:lineRule="auto"/>
              <w:rPr>
                <w:rFonts w:ascii="Garamond" w:hAnsi="Garamond"/>
                <w:sz w:val="18"/>
                <w:szCs w:val="18"/>
              </w:rPr>
            </w:pPr>
          </w:p>
        </w:tc>
        <w:tc>
          <w:tcPr>
            <w:tcW w:w="2183" w:type="dxa"/>
            <w:tcBorders>
              <w:top w:val="nil"/>
              <w:left w:val="nil"/>
              <w:bottom w:val="single" w:sz="4" w:space="0" w:color="auto"/>
              <w:right w:val="single" w:sz="4" w:space="0" w:color="auto"/>
            </w:tcBorders>
            <w:shd w:val="clear" w:color="000000" w:fill="DCE6F1"/>
            <w:noWrap/>
            <w:vAlign w:val="bottom"/>
          </w:tcPr>
          <w:p w:rsidR="00E93579" w:rsidRPr="00F2489D" w:rsidRDefault="00E93579" w:rsidP="00171CF3">
            <w:pPr>
              <w:spacing w:after="0" w:line="240" w:lineRule="auto"/>
              <w:rPr>
                <w:rFonts w:ascii="Garamond" w:hAnsi="Garamond"/>
                <w:color w:val="000000"/>
                <w:sz w:val="18"/>
                <w:szCs w:val="18"/>
              </w:rPr>
            </w:pPr>
            <w:r w:rsidRPr="00F2489D">
              <w:rPr>
                <w:rFonts w:ascii="Garamond" w:hAnsi="Garamond"/>
                <w:color w:val="000000"/>
                <w:sz w:val="18"/>
                <w:szCs w:val="18"/>
              </w:rPr>
              <w:t>Resources mobilization strategy developed and approved</w:t>
            </w:r>
          </w:p>
        </w:tc>
        <w:tc>
          <w:tcPr>
            <w:tcW w:w="630" w:type="dxa"/>
            <w:tcBorders>
              <w:top w:val="nil"/>
              <w:left w:val="nil"/>
              <w:bottom w:val="single" w:sz="4" w:space="0" w:color="auto"/>
              <w:right w:val="single" w:sz="4" w:space="0" w:color="auto"/>
            </w:tcBorders>
            <w:shd w:val="clear" w:color="auto" w:fill="auto"/>
            <w:noWrap/>
            <w:vAlign w:val="bottom"/>
          </w:tcPr>
          <w:p w:rsidR="00E93579" w:rsidRPr="00F2489D" w:rsidRDefault="00E93579"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E93579" w:rsidRPr="00F2489D" w:rsidRDefault="00E93579"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E93579" w:rsidRPr="00F2489D" w:rsidRDefault="00E93579" w:rsidP="00171CF3">
            <w:pPr>
              <w:spacing w:after="0" w:line="240" w:lineRule="auto"/>
              <w:rPr>
                <w:rFonts w:ascii="Garamond" w:hAnsi="Garamond"/>
                <w:color w:val="000000"/>
                <w:sz w:val="18"/>
                <w:szCs w:val="18"/>
              </w:rPr>
            </w:pPr>
          </w:p>
        </w:tc>
        <w:tc>
          <w:tcPr>
            <w:tcW w:w="576" w:type="dxa"/>
            <w:tcBorders>
              <w:top w:val="nil"/>
              <w:left w:val="nil"/>
              <w:bottom w:val="single" w:sz="4" w:space="0" w:color="auto"/>
              <w:right w:val="single" w:sz="4" w:space="0" w:color="auto"/>
            </w:tcBorders>
            <w:shd w:val="clear" w:color="auto" w:fill="auto"/>
            <w:noWrap/>
            <w:vAlign w:val="bottom"/>
          </w:tcPr>
          <w:p w:rsidR="00E93579" w:rsidRPr="00F2489D" w:rsidRDefault="00E93579" w:rsidP="00171CF3">
            <w:pPr>
              <w:spacing w:after="0" w:line="240" w:lineRule="auto"/>
              <w:rPr>
                <w:rFonts w:ascii="Garamond" w:hAnsi="Garamond"/>
                <w:color w:val="000000"/>
                <w:sz w:val="18"/>
                <w:szCs w:val="18"/>
              </w:rPr>
            </w:pPr>
          </w:p>
        </w:tc>
        <w:tc>
          <w:tcPr>
            <w:tcW w:w="1710" w:type="dxa"/>
            <w:tcBorders>
              <w:top w:val="nil"/>
              <w:left w:val="nil"/>
              <w:bottom w:val="single" w:sz="4" w:space="0" w:color="auto"/>
              <w:right w:val="single" w:sz="4" w:space="0" w:color="auto"/>
            </w:tcBorders>
            <w:shd w:val="clear" w:color="auto" w:fill="auto"/>
            <w:vAlign w:val="bottom"/>
          </w:tcPr>
          <w:p w:rsidR="00E93579" w:rsidRPr="00F2489D" w:rsidRDefault="00E93579" w:rsidP="00171CF3">
            <w:pPr>
              <w:spacing w:after="0" w:line="240" w:lineRule="auto"/>
              <w:rPr>
                <w:rFonts w:ascii="Garamond" w:hAnsi="Garamond"/>
                <w:color w:val="000000"/>
                <w:sz w:val="18"/>
                <w:szCs w:val="18"/>
              </w:rPr>
            </w:pPr>
          </w:p>
        </w:tc>
        <w:tc>
          <w:tcPr>
            <w:tcW w:w="864" w:type="dxa"/>
            <w:gridSpan w:val="2"/>
            <w:tcBorders>
              <w:top w:val="nil"/>
              <w:left w:val="nil"/>
              <w:bottom w:val="single" w:sz="4" w:space="0" w:color="auto"/>
              <w:right w:val="single" w:sz="4" w:space="0" w:color="auto"/>
            </w:tcBorders>
          </w:tcPr>
          <w:p w:rsidR="00E93579" w:rsidRPr="00F2489D" w:rsidRDefault="00E93579" w:rsidP="00171CF3">
            <w:pPr>
              <w:spacing w:after="0" w:line="240" w:lineRule="auto"/>
              <w:rPr>
                <w:rFonts w:ascii="Garamond" w:hAnsi="Garamond"/>
                <w:color w:val="000000"/>
                <w:sz w:val="18"/>
                <w:szCs w:val="18"/>
              </w:rPr>
            </w:pPr>
          </w:p>
        </w:tc>
      </w:tr>
      <w:tr w:rsidR="00CE4FCD" w:rsidRPr="00F2489D" w:rsidTr="00441C11">
        <w:trPr>
          <w:trHeight w:val="288"/>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sz w:val="18"/>
                <w:szCs w:val="18"/>
              </w:rPr>
            </w:pPr>
          </w:p>
        </w:tc>
        <w:tc>
          <w:tcPr>
            <w:tcW w:w="2183" w:type="dxa"/>
            <w:tcBorders>
              <w:top w:val="nil"/>
              <w:left w:val="nil"/>
              <w:bottom w:val="single" w:sz="4" w:space="0" w:color="auto"/>
              <w:right w:val="single" w:sz="4" w:space="0" w:color="auto"/>
            </w:tcBorders>
            <w:shd w:val="clear" w:color="000000" w:fill="DCE6F1"/>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A functioning capital market system observed</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288"/>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sz w:val="18"/>
                <w:szCs w:val="18"/>
              </w:rPr>
            </w:pPr>
          </w:p>
        </w:tc>
        <w:tc>
          <w:tcPr>
            <w:tcW w:w="2183" w:type="dxa"/>
            <w:tcBorders>
              <w:top w:val="nil"/>
              <w:left w:val="nil"/>
              <w:bottom w:val="single" w:sz="4" w:space="0" w:color="auto"/>
              <w:right w:val="single" w:sz="4" w:space="0" w:color="auto"/>
            </w:tcBorders>
            <w:shd w:val="clear" w:color="000000" w:fill="DCE6F1"/>
            <w:noWrap/>
            <w:vAlign w:val="bottom"/>
            <w:hideMark/>
          </w:tcPr>
          <w:p w:rsidR="00CE4FCD" w:rsidRPr="00F2489D" w:rsidRDefault="00CE4FCD" w:rsidP="00171CF3">
            <w:pPr>
              <w:spacing w:after="0" w:line="240" w:lineRule="auto"/>
              <w:rPr>
                <w:rFonts w:ascii="Garamond" w:hAnsi="Garamond"/>
                <w:color w:val="000000"/>
                <w:sz w:val="18"/>
                <w:szCs w:val="18"/>
              </w:rPr>
            </w:pPr>
            <w:r w:rsidRPr="008671BB">
              <w:rPr>
                <w:rFonts w:ascii="Garamond" w:hAnsi="Garamond"/>
                <w:color w:val="000000"/>
                <w:sz w:val="18"/>
                <w:szCs w:val="18"/>
              </w:rPr>
              <w:t>Proportion of domestic budget funded by</w:t>
            </w:r>
            <w:r>
              <w:rPr>
                <w:rFonts w:ascii="Garamond" w:hAnsi="Garamond"/>
                <w:color w:val="000000"/>
                <w:sz w:val="18"/>
                <w:szCs w:val="18"/>
              </w:rPr>
              <w:t xml:space="preserve"> domestic taxes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70"/>
        </w:trPr>
        <w:tc>
          <w:tcPr>
            <w:tcW w:w="720" w:type="dxa"/>
            <w:vMerge w:val="restart"/>
            <w:tcBorders>
              <w:top w:val="single" w:sz="4" w:space="0" w:color="auto"/>
              <w:left w:val="nil"/>
              <w:bottom w:val="single" w:sz="4" w:space="0" w:color="000000"/>
              <w:right w:val="single" w:sz="4" w:space="0" w:color="auto"/>
            </w:tcBorders>
            <w:shd w:val="clear" w:color="000000" w:fill="DCE6F1"/>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2562" w:type="dxa"/>
            <w:vMerge w:val="restart"/>
            <w:tcBorders>
              <w:top w:val="single" w:sz="4" w:space="0" w:color="auto"/>
              <w:left w:val="single" w:sz="4" w:space="0" w:color="auto"/>
              <w:bottom w:val="single" w:sz="4" w:space="0" w:color="000000"/>
              <w:right w:val="single" w:sz="4" w:space="0" w:color="auto"/>
            </w:tcBorders>
            <w:shd w:val="clear" w:color="000000" w:fill="C4D79B"/>
            <w:hideMark/>
          </w:tcPr>
          <w:p w:rsidR="00CE4FCD" w:rsidRPr="00F2489D" w:rsidRDefault="00CE4FCD" w:rsidP="00171CF3">
            <w:pPr>
              <w:spacing w:after="0" w:line="240" w:lineRule="auto"/>
              <w:rPr>
                <w:rFonts w:ascii="Garamond" w:hAnsi="Garamond"/>
                <w:sz w:val="18"/>
                <w:szCs w:val="18"/>
              </w:rPr>
            </w:pPr>
            <w:r w:rsidRPr="00F2489D">
              <w:rPr>
                <w:rFonts w:ascii="Garamond" w:hAnsi="Garamond"/>
                <w:b/>
                <w:bCs/>
                <w:sz w:val="18"/>
                <w:szCs w:val="18"/>
              </w:rPr>
              <w:t>Output 1.1:</w:t>
            </w:r>
            <w:r w:rsidRPr="00F2489D">
              <w:rPr>
                <w:rFonts w:ascii="Garamond" w:hAnsi="Garamond"/>
                <w:sz w:val="18"/>
                <w:szCs w:val="18"/>
              </w:rPr>
              <w:t xml:space="preserve"> Domestic savings increased </w:t>
            </w: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Share of domestic saving in GDP</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r w:rsidR="00EF12ED">
              <w:rPr>
                <w:rFonts w:ascii="Garamond" w:hAnsi="Garamond"/>
                <w:color w:val="000000"/>
                <w:sz w:val="18"/>
                <w:szCs w:val="18"/>
              </w:rPr>
              <w:t>24.6</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43"/>
        </w:trPr>
        <w:tc>
          <w:tcPr>
            <w:tcW w:w="720" w:type="dxa"/>
            <w:vMerge/>
            <w:tcBorders>
              <w:top w:val="single" w:sz="4" w:space="0" w:color="auto"/>
              <w:left w:val="nil"/>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single" w:sz="4" w:space="0" w:color="auto"/>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Share of private saving in GDP</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r w:rsidR="00EF12ED">
              <w:rPr>
                <w:rFonts w:ascii="Garamond" w:hAnsi="Garamond"/>
                <w:color w:val="000000"/>
                <w:sz w:val="18"/>
                <w:szCs w:val="18"/>
              </w:rPr>
              <w:t>16.2</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70"/>
        </w:trPr>
        <w:tc>
          <w:tcPr>
            <w:tcW w:w="720" w:type="dxa"/>
            <w:vMerge/>
            <w:tcBorders>
              <w:top w:val="single" w:sz="4" w:space="0" w:color="auto"/>
              <w:left w:val="nil"/>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single" w:sz="4" w:space="0" w:color="auto"/>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Share of government saving in GDP</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EF12ED">
            <w:pPr>
              <w:spacing w:after="0" w:line="240" w:lineRule="auto"/>
              <w:rPr>
                <w:rFonts w:ascii="Garamond" w:hAnsi="Garamond"/>
                <w:color w:val="000000"/>
                <w:sz w:val="18"/>
                <w:szCs w:val="18"/>
              </w:rPr>
            </w:pPr>
            <w:r w:rsidRPr="00F2489D">
              <w:rPr>
                <w:rFonts w:ascii="Garamond" w:hAnsi="Garamond"/>
                <w:color w:val="000000"/>
                <w:sz w:val="18"/>
                <w:szCs w:val="18"/>
              </w:rPr>
              <w:t> </w:t>
            </w:r>
            <w:r w:rsidR="00EF12ED">
              <w:rPr>
                <w:rFonts w:ascii="Garamond" w:hAnsi="Garamond"/>
                <w:color w:val="000000"/>
                <w:sz w:val="18"/>
                <w:szCs w:val="18"/>
              </w:rPr>
              <w:t>8.4</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43"/>
        </w:trPr>
        <w:tc>
          <w:tcPr>
            <w:tcW w:w="720" w:type="dxa"/>
            <w:vMerge/>
            <w:tcBorders>
              <w:top w:val="single" w:sz="4" w:space="0" w:color="auto"/>
              <w:left w:val="nil"/>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single" w:sz="4" w:space="0" w:color="auto"/>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Share of tax revenue in GDP</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r w:rsidR="00EF12ED">
              <w:rPr>
                <w:rFonts w:ascii="Garamond" w:hAnsi="Garamond"/>
                <w:color w:val="000000"/>
                <w:sz w:val="18"/>
                <w:szCs w:val="18"/>
              </w:rPr>
              <w:t>15.2</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97"/>
        </w:trPr>
        <w:tc>
          <w:tcPr>
            <w:tcW w:w="720" w:type="dxa"/>
            <w:vMerge/>
            <w:tcBorders>
              <w:top w:val="single" w:sz="4" w:space="0" w:color="auto"/>
              <w:left w:val="nil"/>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single" w:sz="4" w:space="0" w:color="auto"/>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Share of non-tax revenue in GDP</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r w:rsidR="00EF12ED">
              <w:rPr>
                <w:rFonts w:ascii="Garamond" w:hAnsi="Garamond"/>
                <w:color w:val="000000"/>
                <w:sz w:val="18"/>
                <w:szCs w:val="18"/>
              </w:rPr>
              <w:t>1.9</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88"/>
        </w:trPr>
        <w:tc>
          <w:tcPr>
            <w:tcW w:w="720" w:type="dxa"/>
            <w:vMerge/>
            <w:tcBorders>
              <w:top w:val="single" w:sz="4" w:space="0" w:color="auto"/>
              <w:left w:val="nil"/>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single" w:sz="4" w:space="0" w:color="auto"/>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883CAE">
            <w:pPr>
              <w:spacing w:after="0" w:line="240" w:lineRule="auto"/>
              <w:rPr>
                <w:rFonts w:ascii="Garamond" w:hAnsi="Garamond"/>
                <w:color w:val="000000"/>
                <w:sz w:val="18"/>
                <w:szCs w:val="18"/>
              </w:rPr>
            </w:pPr>
            <w:r w:rsidRPr="00F2489D">
              <w:rPr>
                <w:rFonts w:ascii="Garamond" w:hAnsi="Garamond"/>
                <w:color w:val="000000"/>
                <w:sz w:val="18"/>
                <w:szCs w:val="18"/>
              </w:rPr>
              <w:t xml:space="preserve"> Number of new saving </w:t>
            </w:r>
            <w:r>
              <w:rPr>
                <w:rFonts w:ascii="Garamond" w:hAnsi="Garamond"/>
                <w:color w:val="000000"/>
                <w:sz w:val="18"/>
                <w:szCs w:val="18"/>
              </w:rPr>
              <w:t xml:space="preserve">schemes adopted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67669">
            <w:pPr>
              <w:spacing w:after="0" w:line="240" w:lineRule="auto"/>
              <w:jc w:val="center"/>
              <w:rPr>
                <w:rFonts w:ascii="Garamond" w:hAnsi="Garamond"/>
                <w:color w:val="000000"/>
                <w:sz w:val="18"/>
                <w:szCs w:val="18"/>
              </w:rPr>
            </w:pPr>
            <w:r w:rsidRPr="00F2489D">
              <w:rPr>
                <w:rFonts w:ascii="Garamond" w:hAnsi="Garamond"/>
                <w:color w:val="000000"/>
                <w:sz w:val="18"/>
                <w:szCs w:val="18"/>
              </w:rPr>
              <w:t>1.1</w:t>
            </w:r>
          </w:p>
        </w:tc>
        <w:tc>
          <w:tcPr>
            <w:tcW w:w="2562" w:type="dxa"/>
            <w:tcBorders>
              <w:top w:val="nil"/>
              <w:left w:val="nil"/>
              <w:bottom w:val="single" w:sz="4" w:space="0" w:color="auto"/>
              <w:right w:val="single" w:sz="4" w:space="0" w:color="auto"/>
            </w:tcBorders>
            <w:shd w:val="clear" w:color="auto" w:fill="auto"/>
            <w:noWrap/>
            <w:vAlign w:val="center"/>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Key interventions: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236"/>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1.1.1</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Enhance private sector through financial inclusion such as improved access to financial services, and financial literacy</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MoFEC, National Bank of Ethiopia (NBE), Development Bank of Ethiopia (DBE), Commercial Banks, Microfinance institutions, and insurance companies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196"/>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1.1.2    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Enhance government savings through effective administration of tax policies, efficient and utilization of budget, and reducing wastage and improving transparency on expenditure</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ERCA, NPC</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86"/>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Broadening the tax base through identifying and introducing new taxes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ERCA</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236"/>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1.1.3</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Strengthen and expand saving instruments including contractual savings and services such as saving for housing, investment equipment scheme, social security, and health insurance</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ERCA</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61"/>
        </w:trPr>
        <w:tc>
          <w:tcPr>
            <w:tcW w:w="720" w:type="dxa"/>
            <w:vMerge w:val="restart"/>
            <w:tcBorders>
              <w:top w:val="nil"/>
              <w:left w:val="single" w:sz="4" w:space="0" w:color="auto"/>
              <w:bottom w:val="single" w:sz="4" w:space="0" w:color="000000"/>
              <w:right w:val="single" w:sz="4" w:space="0" w:color="auto"/>
            </w:tcBorders>
            <w:shd w:val="clear" w:color="000000" w:fill="C4D79B"/>
            <w:noWrap/>
            <w:hideMark/>
          </w:tcPr>
          <w:p w:rsidR="00CE4FCD" w:rsidRPr="00F2489D" w:rsidRDefault="00CE4FCD" w:rsidP="00171CF3">
            <w:pPr>
              <w:spacing w:after="0" w:line="240" w:lineRule="auto"/>
              <w:jc w:val="right"/>
              <w:rPr>
                <w:rFonts w:ascii="Garamond" w:hAnsi="Garamond"/>
                <w:b/>
                <w:bCs/>
                <w:color w:val="000000"/>
                <w:sz w:val="18"/>
                <w:szCs w:val="18"/>
              </w:rPr>
            </w:pPr>
            <w:r w:rsidRPr="00F2489D">
              <w:rPr>
                <w:rFonts w:ascii="Garamond" w:hAnsi="Garamond"/>
                <w:b/>
                <w:bCs/>
                <w:color w:val="000000"/>
                <w:sz w:val="18"/>
                <w:szCs w:val="18"/>
              </w:rPr>
              <w:t>1.2</w:t>
            </w:r>
          </w:p>
        </w:tc>
        <w:tc>
          <w:tcPr>
            <w:tcW w:w="2562" w:type="dxa"/>
            <w:vMerge w:val="restart"/>
            <w:tcBorders>
              <w:top w:val="nil"/>
              <w:left w:val="single" w:sz="4" w:space="0" w:color="auto"/>
              <w:bottom w:val="single" w:sz="4" w:space="0" w:color="000000"/>
              <w:right w:val="single" w:sz="4" w:space="0" w:color="auto"/>
            </w:tcBorders>
            <w:shd w:val="clear" w:color="000000" w:fill="C4D79B"/>
            <w:hideMark/>
          </w:tcPr>
          <w:p w:rsidR="00CE4FCD" w:rsidRPr="00F2489D" w:rsidRDefault="00CE4FCD" w:rsidP="00B90BB9">
            <w:pPr>
              <w:spacing w:after="0" w:line="240" w:lineRule="auto"/>
              <w:rPr>
                <w:rFonts w:ascii="Garamond" w:hAnsi="Garamond"/>
                <w:b/>
                <w:bCs/>
                <w:sz w:val="18"/>
                <w:szCs w:val="18"/>
              </w:rPr>
            </w:pPr>
            <w:r w:rsidRPr="00F2489D">
              <w:rPr>
                <w:rFonts w:ascii="Garamond" w:hAnsi="Garamond"/>
                <w:b/>
                <w:bCs/>
                <w:sz w:val="18"/>
                <w:szCs w:val="18"/>
              </w:rPr>
              <w:t xml:space="preserve">Output 1.2: </w:t>
            </w:r>
            <w:r w:rsidRPr="00F2489D">
              <w:rPr>
                <w:rFonts w:ascii="Garamond" w:hAnsi="Garamond"/>
                <w:sz w:val="18"/>
                <w:szCs w:val="18"/>
              </w:rPr>
              <w:t>Domestic revenue mobilization capacit</w:t>
            </w:r>
            <w:r>
              <w:rPr>
                <w:rFonts w:ascii="Garamond" w:hAnsi="Garamond"/>
                <w:sz w:val="18"/>
                <w:szCs w:val="18"/>
              </w:rPr>
              <w:t>y</w:t>
            </w:r>
            <w:r w:rsidRPr="00F2489D">
              <w:rPr>
                <w:rFonts w:ascii="Garamond" w:hAnsi="Garamond"/>
                <w:sz w:val="18"/>
                <w:szCs w:val="18"/>
              </w:rPr>
              <w:t xml:space="preserve"> (both from </w:t>
            </w:r>
            <w:r w:rsidRPr="00F2489D">
              <w:rPr>
                <w:rFonts w:ascii="Garamond" w:hAnsi="Garamond"/>
                <w:sz w:val="18"/>
                <w:szCs w:val="18"/>
              </w:rPr>
              <w:lastRenderedPageBreak/>
              <w:t xml:space="preserve">tax and non-tax sources) enhanced and enabling environment for doing businesses improved </w:t>
            </w:r>
          </w:p>
        </w:tc>
        <w:tc>
          <w:tcPr>
            <w:tcW w:w="2183" w:type="dxa"/>
            <w:tcBorders>
              <w:top w:val="nil"/>
              <w:left w:val="nil"/>
              <w:bottom w:val="single" w:sz="4" w:space="0" w:color="auto"/>
              <w:right w:val="single" w:sz="4" w:space="0" w:color="auto"/>
            </w:tcBorders>
            <w:shd w:val="clear" w:color="000000" w:fill="C4D79B"/>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lastRenderedPageBreak/>
              <w:t>Reduced tax compliance cost</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84"/>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C4D79B"/>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Number of businesses registered for taxes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24"/>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C4D79B"/>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Number of ERCA staff members with relevant skills and knowledge on domestic revenue mobilization</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50"/>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Number of new tax bases and taxes identified and introduced</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000000" w:fill="FFFFFF"/>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shd w:val="clear" w:color="000000" w:fill="FFFFFF"/>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00"/>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C4D79B"/>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Number of revenue offices with a comprehensive modern database system</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000000" w:fill="FFFFFF"/>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shd w:val="clear" w:color="000000" w:fill="FFFFFF"/>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04"/>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Number of new industrial parks constructed and strengthened</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000000" w:fill="FFFFFF"/>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shd w:val="clear" w:color="000000" w:fill="FFFFFF"/>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44"/>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Number of factories established in the industrial parks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000000" w:fill="FFFFFF"/>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shd w:val="clear" w:color="000000" w:fill="FFFFFF"/>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48"/>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License and customs procedures streamlined</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000000" w:fill="FFFFFF"/>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shd w:val="clear" w:color="000000" w:fill="FFFFFF"/>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97"/>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Ease of Doing business rank improved</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000000" w:fill="FFFFFF"/>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shd w:val="clear" w:color="000000" w:fill="FFFFFF"/>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58"/>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C4D79B"/>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Availability of approved tax potential assessments and tax policies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000000" w:fill="FFFFFF"/>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shd w:val="clear" w:color="000000" w:fill="FFFFFF"/>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2562"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Key interventions: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12"/>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1.2.1</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240" w:line="240" w:lineRule="auto"/>
              <w:jc w:val="both"/>
              <w:rPr>
                <w:rFonts w:ascii="Garamond" w:hAnsi="Garamond"/>
                <w:color w:val="000000"/>
                <w:sz w:val="18"/>
                <w:szCs w:val="18"/>
              </w:rPr>
            </w:pPr>
            <w:r w:rsidRPr="00F2489D">
              <w:rPr>
                <w:rFonts w:ascii="Garamond" w:hAnsi="Garamond"/>
                <w:color w:val="000000"/>
                <w:sz w:val="18"/>
                <w:szCs w:val="18"/>
              </w:rPr>
              <w:t>Undertake assessment of tax potential and identify feasible tax bases for the country</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ERCA</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1.2.2</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Design a nationally appropriate resource mobilization strategy to guide strategic interventions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ERCA</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912"/>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1.2.3</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884C93">
            <w:pPr>
              <w:spacing w:after="0" w:line="240" w:lineRule="auto"/>
              <w:jc w:val="both"/>
              <w:rPr>
                <w:rFonts w:ascii="Garamond" w:hAnsi="Garamond"/>
                <w:color w:val="000000"/>
                <w:sz w:val="18"/>
                <w:szCs w:val="18"/>
              </w:rPr>
            </w:pPr>
            <w:r w:rsidRPr="00F2489D">
              <w:rPr>
                <w:rFonts w:ascii="Garamond" w:hAnsi="Garamond"/>
                <w:color w:val="000000"/>
                <w:sz w:val="18"/>
                <w:szCs w:val="18"/>
              </w:rPr>
              <w:t>Improve human resource development and management of revenue offices by supporting establish</w:t>
            </w:r>
            <w:r>
              <w:rPr>
                <w:rFonts w:ascii="Garamond" w:hAnsi="Garamond"/>
                <w:color w:val="000000"/>
                <w:sz w:val="18"/>
                <w:szCs w:val="18"/>
              </w:rPr>
              <w:t>ment of t</w:t>
            </w:r>
            <w:r w:rsidRPr="00F2489D">
              <w:rPr>
                <w:rFonts w:ascii="Garamond" w:hAnsi="Garamond"/>
                <w:color w:val="000000"/>
                <w:sz w:val="18"/>
                <w:szCs w:val="18"/>
              </w:rPr>
              <w:t xml:space="preserve">ax </w:t>
            </w:r>
            <w:r>
              <w:rPr>
                <w:rFonts w:ascii="Garamond" w:hAnsi="Garamond"/>
                <w:color w:val="000000"/>
                <w:sz w:val="18"/>
                <w:szCs w:val="18"/>
              </w:rPr>
              <w:t xml:space="preserve">and customs </w:t>
            </w:r>
            <w:r w:rsidRPr="00F2489D">
              <w:rPr>
                <w:rFonts w:ascii="Garamond" w:hAnsi="Garamond"/>
                <w:color w:val="000000"/>
                <w:sz w:val="18"/>
                <w:szCs w:val="18"/>
              </w:rPr>
              <w:t>institute</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ERCA, Development Partners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936"/>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1.2.4</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7C5A33">
            <w:pPr>
              <w:spacing w:after="0" w:line="240" w:lineRule="auto"/>
              <w:jc w:val="both"/>
              <w:rPr>
                <w:rFonts w:ascii="Garamond" w:hAnsi="Garamond"/>
                <w:color w:val="000000"/>
                <w:sz w:val="18"/>
                <w:szCs w:val="18"/>
              </w:rPr>
            </w:pPr>
            <w:r>
              <w:rPr>
                <w:rFonts w:ascii="Garamond" w:hAnsi="Garamond"/>
                <w:color w:val="000000"/>
                <w:sz w:val="18"/>
                <w:szCs w:val="18"/>
              </w:rPr>
              <w:t>Strengthen and e</w:t>
            </w:r>
            <w:r w:rsidRPr="00F2489D">
              <w:rPr>
                <w:rFonts w:ascii="Garamond" w:hAnsi="Garamond"/>
                <w:color w:val="000000"/>
                <w:sz w:val="18"/>
                <w:szCs w:val="18"/>
              </w:rPr>
              <w:t>xpand</w:t>
            </w:r>
            <w:r>
              <w:rPr>
                <w:rFonts w:ascii="Garamond" w:hAnsi="Garamond"/>
                <w:color w:val="000000"/>
                <w:sz w:val="18"/>
                <w:szCs w:val="18"/>
              </w:rPr>
              <w:t xml:space="preserve"> </w:t>
            </w:r>
            <w:r w:rsidRPr="00F2489D">
              <w:rPr>
                <w:rFonts w:ascii="Garamond" w:hAnsi="Garamond"/>
                <w:color w:val="000000"/>
                <w:sz w:val="18"/>
                <w:szCs w:val="18"/>
              </w:rPr>
              <w:t>modern information system</w:t>
            </w:r>
            <w:r>
              <w:rPr>
                <w:rFonts w:ascii="Garamond" w:hAnsi="Garamond"/>
                <w:color w:val="000000"/>
                <w:sz w:val="18"/>
                <w:szCs w:val="18"/>
              </w:rPr>
              <w:t xml:space="preserve"> and improve data quality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ERCA, Development Partners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72"/>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1.2.5</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 xml:space="preserve">Improve customer relations, services and awareness creation among tax payers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ERCA, Development Partners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13"/>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1.2.6</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CB61A9">
            <w:pPr>
              <w:spacing w:after="0" w:line="240" w:lineRule="auto"/>
              <w:jc w:val="both"/>
              <w:rPr>
                <w:rFonts w:ascii="Garamond" w:hAnsi="Garamond"/>
                <w:color w:val="000000"/>
                <w:sz w:val="18"/>
                <w:szCs w:val="18"/>
              </w:rPr>
            </w:pPr>
            <w:r w:rsidRPr="00F2489D">
              <w:rPr>
                <w:rFonts w:ascii="Garamond" w:hAnsi="Garamond"/>
                <w:color w:val="000000"/>
                <w:sz w:val="18"/>
                <w:szCs w:val="18"/>
              </w:rPr>
              <w:t>Strengthen and support the tax</w:t>
            </w:r>
            <w:r>
              <w:rPr>
                <w:rFonts w:ascii="Garamond" w:hAnsi="Garamond"/>
                <w:color w:val="000000"/>
                <w:sz w:val="18"/>
                <w:szCs w:val="18"/>
              </w:rPr>
              <w:t xml:space="preserve"> and customs </w:t>
            </w:r>
            <w:r w:rsidRPr="00F2489D">
              <w:rPr>
                <w:rFonts w:ascii="Garamond" w:hAnsi="Garamond"/>
                <w:color w:val="000000"/>
                <w:sz w:val="18"/>
                <w:szCs w:val="18"/>
              </w:rPr>
              <w:t xml:space="preserve">policy </w:t>
            </w:r>
            <w:r>
              <w:rPr>
                <w:rFonts w:ascii="Garamond" w:hAnsi="Garamond"/>
                <w:color w:val="000000"/>
                <w:sz w:val="18"/>
                <w:szCs w:val="18"/>
              </w:rPr>
              <w:t xml:space="preserve">and research </w:t>
            </w:r>
            <w:r w:rsidRPr="00F2489D">
              <w:rPr>
                <w:rFonts w:ascii="Garamond" w:hAnsi="Garamond"/>
                <w:color w:val="000000"/>
                <w:sz w:val="18"/>
                <w:szCs w:val="18"/>
              </w:rPr>
              <w:t>directorates (e.g. MoFEC</w:t>
            </w:r>
            <w:r>
              <w:rPr>
                <w:rFonts w:ascii="Garamond" w:hAnsi="Garamond"/>
                <w:color w:val="000000"/>
                <w:sz w:val="18"/>
                <w:szCs w:val="18"/>
              </w:rPr>
              <w:t xml:space="preserve"> and ERCA</w:t>
            </w:r>
            <w:r w:rsidRPr="00F2489D">
              <w:rPr>
                <w:rFonts w:ascii="Garamond" w:hAnsi="Garamond"/>
                <w:color w:val="000000"/>
                <w:sz w:val="18"/>
                <w:szCs w:val="18"/>
              </w:rPr>
              <w:t>)</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ERCA,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791"/>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1.2.7</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DC3C4F">
            <w:pPr>
              <w:spacing w:after="0" w:line="240" w:lineRule="auto"/>
              <w:jc w:val="both"/>
              <w:rPr>
                <w:rFonts w:ascii="Garamond" w:hAnsi="Garamond"/>
                <w:color w:val="000000"/>
                <w:sz w:val="18"/>
                <w:szCs w:val="18"/>
              </w:rPr>
            </w:pPr>
            <w:r w:rsidRPr="00F2489D">
              <w:rPr>
                <w:rFonts w:ascii="Garamond" w:hAnsi="Garamond"/>
                <w:color w:val="000000"/>
                <w:sz w:val="18"/>
                <w:szCs w:val="18"/>
              </w:rPr>
              <w:t>Equip tax collection institutions with adequate enforcement power (</w:t>
            </w:r>
            <w:r>
              <w:rPr>
                <w:rFonts w:ascii="Garamond" w:hAnsi="Garamond"/>
                <w:color w:val="000000"/>
                <w:sz w:val="18"/>
                <w:szCs w:val="18"/>
              </w:rPr>
              <w:t xml:space="preserve">with adequate </w:t>
            </w:r>
            <w:r w:rsidRPr="00F2489D">
              <w:rPr>
                <w:rFonts w:ascii="Garamond" w:hAnsi="Garamond"/>
                <w:color w:val="000000"/>
                <w:sz w:val="18"/>
                <w:szCs w:val="18"/>
              </w:rPr>
              <w:t>information and strong tax-auditing systems)</w:t>
            </w:r>
            <w:r>
              <w:rPr>
                <w:rFonts w:ascii="Garamond" w:hAnsi="Garamond"/>
                <w:color w:val="000000"/>
                <w:sz w:val="18"/>
                <w:szCs w:val="18"/>
              </w:rPr>
              <w:t xml:space="preserve"> to detect trade misinvoicing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ERCA,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236"/>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lastRenderedPageBreak/>
              <w:t>1.2.8</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 xml:space="preserve">Develop comprehensive programmes  to improve voluntary tax compliance through tax education, revisiting existing tax systems and administration, and promote use of electronic payment system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ERCA,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560"/>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1.2.9</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Strengthening</w:t>
            </w:r>
            <w:r>
              <w:rPr>
                <w:rFonts w:ascii="Garamond" w:hAnsi="Garamond"/>
                <w:color w:val="000000"/>
                <w:sz w:val="18"/>
                <w:szCs w:val="18"/>
              </w:rPr>
              <w:t xml:space="preserve"> and upgrading </w:t>
            </w:r>
            <w:r w:rsidRPr="00F2489D">
              <w:rPr>
                <w:rFonts w:ascii="Garamond" w:hAnsi="Garamond"/>
                <w:color w:val="000000"/>
                <w:sz w:val="18"/>
                <w:szCs w:val="18"/>
              </w:rPr>
              <w:t xml:space="preserve"> the Standard Integrated Government Tax Administration System (SIGTAS) for self-help services such as online registration, </w:t>
            </w:r>
            <w:r>
              <w:rPr>
                <w:rFonts w:ascii="Garamond" w:hAnsi="Garamond"/>
                <w:color w:val="000000"/>
                <w:sz w:val="18"/>
                <w:szCs w:val="18"/>
              </w:rPr>
              <w:t>e-</w:t>
            </w:r>
            <w:r w:rsidRPr="00F2489D">
              <w:rPr>
                <w:rFonts w:ascii="Garamond" w:hAnsi="Garamond"/>
                <w:color w:val="000000"/>
                <w:sz w:val="18"/>
                <w:szCs w:val="18"/>
              </w:rPr>
              <w:t xml:space="preserve">filing, </w:t>
            </w:r>
            <w:r>
              <w:rPr>
                <w:rFonts w:ascii="Garamond" w:hAnsi="Garamond"/>
                <w:color w:val="000000"/>
                <w:sz w:val="18"/>
                <w:szCs w:val="18"/>
              </w:rPr>
              <w:t>e-</w:t>
            </w:r>
            <w:r w:rsidRPr="00F2489D">
              <w:rPr>
                <w:rFonts w:ascii="Garamond" w:hAnsi="Garamond"/>
                <w:color w:val="000000"/>
                <w:sz w:val="18"/>
                <w:szCs w:val="18"/>
              </w:rPr>
              <w:t xml:space="preserve">payment and reports to considerably reduce the time costs and the overall tax compliance costs for businesses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ERCA,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20"/>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1.2.10</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Introduce a simplified presumptive tax for small, informal businesses, in part to drive activity into formal enterprises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ERCA,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160"/>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1.2.11</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6231DF">
            <w:pPr>
              <w:spacing w:after="0" w:line="240" w:lineRule="auto"/>
              <w:jc w:val="both"/>
              <w:rPr>
                <w:rFonts w:ascii="Garamond" w:hAnsi="Garamond"/>
                <w:color w:val="000000"/>
                <w:sz w:val="18"/>
                <w:szCs w:val="18"/>
              </w:rPr>
            </w:pPr>
            <w:r>
              <w:rPr>
                <w:rFonts w:ascii="Garamond" w:hAnsi="Garamond"/>
                <w:color w:val="000000"/>
                <w:sz w:val="18"/>
                <w:szCs w:val="18"/>
              </w:rPr>
              <w:t xml:space="preserve">Improve coordination through establishing </w:t>
            </w:r>
            <w:r w:rsidRPr="00F2489D">
              <w:rPr>
                <w:rFonts w:ascii="Garamond" w:hAnsi="Garamond"/>
                <w:color w:val="000000"/>
                <w:sz w:val="18"/>
                <w:szCs w:val="18"/>
              </w:rPr>
              <w:t>a robust commun</w:t>
            </w:r>
            <w:r>
              <w:rPr>
                <w:rFonts w:ascii="Garamond" w:hAnsi="Garamond"/>
                <w:color w:val="000000"/>
                <w:sz w:val="18"/>
                <w:szCs w:val="18"/>
              </w:rPr>
              <w:t>ication</w:t>
            </w:r>
            <w:r w:rsidRPr="00F2489D">
              <w:rPr>
                <w:rFonts w:ascii="Garamond" w:hAnsi="Garamond"/>
                <w:color w:val="000000"/>
                <w:sz w:val="18"/>
                <w:szCs w:val="18"/>
              </w:rPr>
              <w:t xml:space="preserve"> for better tax coverage</w:t>
            </w:r>
            <w:r>
              <w:rPr>
                <w:rFonts w:ascii="Garamond" w:hAnsi="Garamond"/>
                <w:color w:val="000000"/>
                <w:sz w:val="18"/>
                <w:szCs w:val="18"/>
              </w:rPr>
              <w:t xml:space="preserve"> through investment in networking/interfacing relevant institutions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ERCA,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48"/>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1.2.12</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 xml:space="preserve">Establish and support integrated industrial development parks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Industrial Development Corporation(IDC),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566"/>
        </w:trPr>
        <w:tc>
          <w:tcPr>
            <w:tcW w:w="720" w:type="dxa"/>
            <w:tcBorders>
              <w:top w:val="nil"/>
              <w:left w:val="single" w:sz="4" w:space="0" w:color="auto"/>
              <w:bottom w:val="single" w:sz="4" w:space="0" w:color="auto"/>
              <w:right w:val="single" w:sz="4" w:space="0" w:color="auto"/>
            </w:tcBorders>
            <w:shd w:val="clear" w:color="auto" w:fill="auto"/>
            <w:noWrap/>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1.2.13</w:t>
            </w:r>
          </w:p>
        </w:tc>
        <w:tc>
          <w:tcPr>
            <w:tcW w:w="2562" w:type="dxa"/>
            <w:tcBorders>
              <w:top w:val="nil"/>
              <w:left w:val="nil"/>
              <w:bottom w:val="single" w:sz="4" w:space="0" w:color="auto"/>
              <w:right w:val="single" w:sz="4" w:space="0" w:color="auto"/>
            </w:tcBorders>
            <w:shd w:val="clear" w:color="auto" w:fill="auto"/>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 xml:space="preserve">Assess the benefits and costs of preferential tax treatments including tax incentives </w:t>
            </w:r>
          </w:p>
        </w:tc>
        <w:tc>
          <w:tcPr>
            <w:tcW w:w="2183"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000000" w:fill="00B0F0"/>
            <w:noWrap/>
            <w:vAlign w:val="bottom"/>
          </w:tcPr>
          <w:p w:rsidR="00CE4FCD" w:rsidRPr="00F2489D" w:rsidRDefault="00CE4FCD"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000000" w:fill="00B0F0"/>
            <w:noWrap/>
            <w:vAlign w:val="bottom"/>
          </w:tcPr>
          <w:p w:rsidR="00CE4FCD" w:rsidRPr="00F2489D" w:rsidRDefault="00CE4FCD"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576"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1710" w:type="dxa"/>
            <w:tcBorders>
              <w:top w:val="nil"/>
              <w:left w:val="nil"/>
              <w:bottom w:val="single" w:sz="4" w:space="0" w:color="auto"/>
              <w:right w:val="single" w:sz="4" w:space="0" w:color="auto"/>
            </w:tcBorders>
            <w:shd w:val="clear" w:color="auto" w:fill="auto"/>
            <w:vAlign w:val="bottom"/>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ERCA, EIC</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48"/>
        </w:trPr>
        <w:tc>
          <w:tcPr>
            <w:tcW w:w="720" w:type="dxa"/>
            <w:vMerge w:val="restart"/>
            <w:tcBorders>
              <w:top w:val="nil"/>
              <w:left w:val="single" w:sz="4" w:space="0" w:color="auto"/>
              <w:bottom w:val="single" w:sz="4" w:space="0" w:color="000000"/>
              <w:right w:val="single" w:sz="4" w:space="0" w:color="auto"/>
            </w:tcBorders>
            <w:shd w:val="clear" w:color="000000" w:fill="C4D79B"/>
            <w:hideMark/>
          </w:tcPr>
          <w:p w:rsidR="00CE4FCD" w:rsidRPr="00F2489D" w:rsidRDefault="00CE4FCD" w:rsidP="00171CF3">
            <w:pPr>
              <w:spacing w:after="0" w:line="240" w:lineRule="auto"/>
              <w:jc w:val="right"/>
              <w:rPr>
                <w:rFonts w:ascii="Garamond" w:hAnsi="Garamond"/>
                <w:color w:val="000000"/>
                <w:sz w:val="18"/>
                <w:szCs w:val="18"/>
              </w:rPr>
            </w:pPr>
            <w:r w:rsidRPr="00F2489D">
              <w:rPr>
                <w:rFonts w:ascii="Garamond" w:hAnsi="Garamond"/>
                <w:color w:val="000000"/>
                <w:sz w:val="18"/>
                <w:szCs w:val="18"/>
              </w:rPr>
              <w:t>1.3</w:t>
            </w:r>
          </w:p>
        </w:tc>
        <w:tc>
          <w:tcPr>
            <w:tcW w:w="2562" w:type="dxa"/>
            <w:vMerge w:val="restart"/>
            <w:tcBorders>
              <w:top w:val="nil"/>
              <w:left w:val="single" w:sz="4" w:space="0" w:color="auto"/>
              <w:bottom w:val="single" w:sz="4" w:space="0" w:color="000000"/>
              <w:right w:val="single" w:sz="4" w:space="0" w:color="auto"/>
            </w:tcBorders>
            <w:shd w:val="clear" w:color="000000" w:fill="C4D79B"/>
            <w:hideMark/>
          </w:tcPr>
          <w:p w:rsidR="00CE4FCD" w:rsidRPr="00F2489D" w:rsidRDefault="00CE4FCD" w:rsidP="00171CF3">
            <w:pPr>
              <w:spacing w:after="0" w:line="240" w:lineRule="auto"/>
              <w:jc w:val="both"/>
              <w:rPr>
                <w:rFonts w:ascii="Garamond" w:hAnsi="Garamond"/>
                <w:b/>
                <w:bCs/>
                <w:color w:val="000000"/>
                <w:sz w:val="18"/>
                <w:szCs w:val="18"/>
              </w:rPr>
            </w:pPr>
            <w:r w:rsidRPr="00F2489D">
              <w:rPr>
                <w:rFonts w:ascii="Garamond" w:hAnsi="Garamond"/>
                <w:b/>
                <w:bCs/>
                <w:color w:val="000000"/>
                <w:sz w:val="18"/>
                <w:szCs w:val="18"/>
              </w:rPr>
              <w:t xml:space="preserve">Output 1.3: Capital markets introduced to leverage development finance needed to implement sustainable development interventions </w:t>
            </w: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Policy and legal frameworks formulated &amp; implemented for capital market development</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206"/>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Capital market established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48"/>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Human capacities created &amp; technological facilities put in place to run the capital market</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2562" w:type="dxa"/>
            <w:tcBorders>
              <w:top w:val="nil"/>
              <w:left w:val="nil"/>
              <w:bottom w:val="single" w:sz="4" w:space="0" w:color="auto"/>
              <w:right w:val="single" w:sz="4" w:space="0" w:color="auto"/>
            </w:tcBorders>
            <w:shd w:val="clear" w:color="auto" w:fill="auto"/>
            <w:noWrap/>
            <w:vAlign w:val="center"/>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 xml:space="preserve">Key interventions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1.3.1</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Formulate relevant policy and legal frameworks to establish and run capital markets in Ethiopia</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NBE, MoFEC,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24"/>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1.3.2</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 xml:space="preserve">Establish a capital market to raise finance domestically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NBE, MoFEC,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008"/>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1.3.3</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Popularize the uses of capital market among the public, create the required capacities in terms of human and technological facilities to effectively run and sustain it</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NBE, MoFEC</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49"/>
        </w:trPr>
        <w:tc>
          <w:tcPr>
            <w:tcW w:w="720" w:type="dxa"/>
            <w:vMerge w:val="restart"/>
            <w:tcBorders>
              <w:top w:val="nil"/>
              <w:left w:val="single" w:sz="4" w:space="0" w:color="auto"/>
              <w:bottom w:val="single" w:sz="4" w:space="0" w:color="000000"/>
              <w:right w:val="single" w:sz="4" w:space="0" w:color="auto"/>
            </w:tcBorders>
            <w:shd w:val="clear" w:color="000000" w:fill="C4D79B"/>
            <w:noWrap/>
            <w:hideMark/>
          </w:tcPr>
          <w:p w:rsidR="00CE4FCD" w:rsidRPr="00F2489D" w:rsidRDefault="00CE4FCD" w:rsidP="00171CF3">
            <w:pPr>
              <w:spacing w:after="0" w:line="240" w:lineRule="auto"/>
              <w:jc w:val="right"/>
              <w:rPr>
                <w:rFonts w:ascii="Garamond" w:hAnsi="Garamond"/>
                <w:color w:val="000000"/>
                <w:sz w:val="18"/>
                <w:szCs w:val="18"/>
              </w:rPr>
            </w:pPr>
            <w:r w:rsidRPr="00F2489D">
              <w:rPr>
                <w:rFonts w:ascii="Garamond" w:hAnsi="Garamond"/>
                <w:color w:val="000000"/>
                <w:sz w:val="18"/>
                <w:szCs w:val="18"/>
              </w:rPr>
              <w:t>1.4</w:t>
            </w:r>
          </w:p>
        </w:tc>
        <w:tc>
          <w:tcPr>
            <w:tcW w:w="2562" w:type="dxa"/>
            <w:vMerge w:val="restart"/>
            <w:tcBorders>
              <w:top w:val="nil"/>
              <w:left w:val="single" w:sz="4" w:space="0" w:color="auto"/>
              <w:bottom w:val="single" w:sz="4" w:space="0" w:color="000000"/>
              <w:right w:val="single" w:sz="4" w:space="0" w:color="auto"/>
            </w:tcBorders>
            <w:shd w:val="clear" w:color="000000" w:fill="C4D79B"/>
            <w:hideMark/>
          </w:tcPr>
          <w:p w:rsidR="00CE4FCD" w:rsidRPr="00F2489D" w:rsidRDefault="00CE4FCD" w:rsidP="00171CF3">
            <w:pPr>
              <w:spacing w:after="0" w:line="240" w:lineRule="auto"/>
              <w:jc w:val="both"/>
              <w:rPr>
                <w:rFonts w:ascii="Garamond" w:hAnsi="Garamond"/>
                <w:b/>
                <w:bCs/>
                <w:color w:val="000000"/>
                <w:sz w:val="18"/>
                <w:szCs w:val="18"/>
              </w:rPr>
            </w:pPr>
            <w:r w:rsidRPr="00F2489D">
              <w:rPr>
                <w:rFonts w:ascii="Garamond" w:hAnsi="Garamond"/>
                <w:b/>
                <w:bCs/>
                <w:color w:val="000000"/>
                <w:sz w:val="18"/>
                <w:szCs w:val="18"/>
              </w:rPr>
              <w:t xml:space="preserve">Output 1.4: Public-Private Partnership (PPP) policy and legal frameworks developed or finalized and established </w:t>
            </w: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PPP Policy document and legal frameworks finalized and approved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40"/>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Number of PPP units established at different levels (federal and regional)</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24"/>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Appropriate platforms created to build capacities &amp; consensus between the public &amp; private sector</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2562" w:type="dxa"/>
            <w:tcBorders>
              <w:top w:val="nil"/>
              <w:left w:val="nil"/>
              <w:bottom w:val="single" w:sz="4" w:space="0" w:color="auto"/>
              <w:right w:val="single" w:sz="4" w:space="0" w:color="auto"/>
            </w:tcBorders>
            <w:shd w:val="clear" w:color="auto" w:fill="auto"/>
            <w:noWrap/>
            <w:vAlign w:val="center"/>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Key interventions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214"/>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1.4.1  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Finalize the ongoing PPP policy and develop appropriate legal frameworks for Ethiopia and popularize it at all levels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NBE, EIC and Chamber of Commerce and Sectoral Associations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827"/>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1.4.2  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 xml:space="preserve">Establish dedicated unit to run PPP at national and regional levels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EIC, NBE, Chamber of Commerce, Sector ministries,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430"/>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1.4.3  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Build capacities of private sector and government sector offices on PPP with particular attention to the design, management, monitoring, evaluation and review of contractual agreements and other types of public-private modalities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EIC, NBE, Chamber of Commerce, Sector ministries, and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67"/>
        </w:trPr>
        <w:tc>
          <w:tcPr>
            <w:tcW w:w="720" w:type="dxa"/>
            <w:vMerge w:val="restart"/>
            <w:tcBorders>
              <w:top w:val="nil"/>
              <w:left w:val="single" w:sz="4" w:space="0" w:color="auto"/>
              <w:right w:val="single" w:sz="4" w:space="0" w:color="auto"/>
            </w:tcBorders>
            <w:shd w:val="clear" w:color="000000" w:fill="DCE6F1"/>
            <w:noWrap/>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2</w:t>
            </w:r>
          </w:p>
        </w:tc>
        <w:tc>
          <w:tcPr>
            <w:tcW w:w="2562" w:type="dxa"/>
            <w:vMerge w:val="restart"/>
            <w:tcBorders>
              <w:top w:val="nil"/>
              <w:left w:val="single" w:sz="4" w:space="0" w:color="auto"/>
              <w:right w:val="single" w:sz="4" w:space="0" w:color="auto"/>
            </w:tcBorders>
            <w:shd w:val="clear" w:color="000000" w:fill="DCE6F1"/>
            <w:hideMark/>
          </w:tcPr>
          <w:p w:rsidR="00CE4FCD" w:rsidRPr="00F2489D" w:rsidRDefault="00CE4FCD" w:rsidP="00171CF3">
            <w:pPr>
              <w:spacing w:after="0" w:line="240" w:lineRule="auto"/>
              <w:rPr>
                <w:rFonts w:ascii="Garamond" w:hAnsi="Garamond"/>
                <w:b/>
                <w:bCs/>
                <w:sz w:val="18"/>
                <w:szCs w:val="18"/>
              </w:rPr>
            </w:pPr>
            <w:r w:rsidRPr="00F2489D">
              <w:rPr>
                <w:rFonts w:ascii="Garamond" w:hAnsi="Garamond"/>
                <w:b/>
                <w:bCs/>
                <w:sz w:val="18"/>
                <w:szCs w:val="18"/>
              </w:rPr>
              <w:t xml:space="preserve">Outcome 2: International private business and finance boosted </w:t>
            </w:r>
          </w:p>
        </w:tc>
        <w:tc>
          <w:tcPr>
            <w:tcW w:w="2183" w:type="dxa"/>
            <w:tcBorders>
              <w:top w:val="nil"/>
              <w:left w:val="nil"/>
              <w:bottom w:val="single" w:sz="4" w:space="0" w:color="auto"/>
              <w:right w:val="single" w:sz="4" w:space="0" w:color="auto"/>
            </w:tcBorders>
            <w:shd w:val="clear" w:color="000000" w:fill="DCE6F1"/>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FDIs increased both in terms of quantity, quality and diversification</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67"/>
        </w:trPr>
        <w:tc>
          <w:tcPr>
            <w:tcW w:w="720" w:type="dxa"/>
            <w:vMerge/>
            <w:tcBorders>
              <w:left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left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DCE6F1"/>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Effective FDI and remittances policies and legal frameworks in place</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25"/>
        </w:trPr>
        <w:tc>
          <w:tcPr>
            <w:tcW w:w="720" w:type="dxa"/>
            <w:vMerge/>
            <w:tcBorders>
              <w:left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left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DCE6F1"/>
            <w:hideMark/>
          </w:tcPr>
          <w:p w:rsidR="00CE4FCD" w:rsidRPr="00F2489D" w:rsidRDefault="00CE4FCD" w:rsidP="00B07D77">
            <w:pPr>
              <w:spacing w:after="0" w:line="240" w:lineRule="auto"/>
              <w:rPr>
                <w:rFonts w:ascii="Garamond" w:hAnsi="Garamond"/>
                <w:color w:val="000000"/>
                <w:sz w:val="18"/>
                <w:szCs w:val="18"/>
              </w:rPr>
            </w:pPr>
            <w:r>
              <w:rPr>
                <w:rFonts w:ascii="Garamond" w:hAnsi="Garamond"/>
                <w:color w:val="000000"/>
                <w:sz w:val="18"/>
                <w:szCs w:val="18"/>
              </w:rPr>
              <w:t>Share of r</w:t>
            </w:r>
            <w:r w:rsidRPr="00F2489D">
              <w:rPr>
                <w:rFonts w:ascii="Garamond" w:hAnsi="Garamond"/>
                <w:color w:val="000000"/>
                <w:sz w:val="18"/>
                <w:szCs w:val="18"/>
              </w:rPr>
              <w:t>emittances</w:t>
            </w:r>
            <w:r>
              <w:rPr>
                <w:rFonts w:ascii="Garamond" w:hAnsi="Garamond"/>
                <w:color w:val="000000"/>
                <w:sz w:val="18"/>
                <w:szCs w:val="18"/>
              </w:rPr>
              <w:t xml:space="preserve"> in GDP</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25"/>
        </w:trPr>
        <w:tc>
          <w:tcPr>
            <w:tcW w:w="720" w:type="dxa"/>
            <w:vMerge/>
            <w:tcBorders>
              <w:left w:val="single" w:sz="4" w:space="0" w:color="auto"/>
              <w:bottom w:val="single" w:sz="4" w:space="0" w:color="000000"/>
              <w:right w:val="single" w:sz="4" w:space="0" w:color="auto"/>
            </w:tcBorders>
            <w:vAlign w:val="center"/>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left w:val="single" w:sz="4" w:space="0" w:color="auto"/>
              <w:bottom w:val="single" w:sz="4" w:space="0" w:color="000000"/>
              <w:right w:val="single" w:sz="4" w:space="0" w:color="auto"/>
            </w:tcBorders>
            <w:vAlign w:val="center"/>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DCE6F1"/>
          </w:tcPr>
          <w:p w:rsidR="00CE4FCD" w:rsidRPr="00F2489D" w:rsidRDefault="00CE4FCD" w:rsidP="003B5684">
            <w:pPr>
              <w:spacing w:after="0" w:line="240" w:lineRule="auto"/>
              <w:rPr>
                <w:rFonts w:ascii="Garamond" w:hAnsi="Garamond"/>
                <w:color w:val="000000"/>
                <w:sz w:val="18"/>
                <w:szCs w:val="18"/>
              </w:rPr>
            </w:pPr>
            <w:r w:rsidRPr="00F2489D">
              <w:rPr>
                <w:rFonts w:ascii="Garamond" w:hAnsi="Garamond"/>
                <w:color w:val="000000"/>
                <w:sz w:val="18"/>
                <w:szCs w:val="18"/>
              </w:rPr>
              <w:t xml:space="preserve">Share of </w:t>
            </w:r>
            <w:r>
              <w:rPr>
                <w:rFonts w:ascii="Garamond" w:hAnsi="Garamond"/>
                <w:color w:val="000000"/>
                <w:sz w:val="18"/>
                <w:szCs w:val="18"/>
              </w:rPr>
              <w:t>FDI in GDP</w:t>
            </w: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576"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1710" w:type="dxa"/>
            <w:tcBorders>
              <w:top w:val="nil"/>
              <w:left w:val="nil"/>
              <w:bottom w:val="single" w:sz="4" w:space="0" w:color="auto"/>
              <w:right w:val="single" w:sz="4" w:space="0" w:color="auto"/>
            </w:tcBorders>
            <w:shd w:val="clear" w:color="auto" w:fill="auto"/>
            <w:vAlign w:val="bottom"/>
          </w:tcPr>
          <w:p w:rsidR="00CE4FCD" w:rsidRPr="00F2489D" w:rsidRDefault="00CE4FCD" w:rsidP="00171CF3">
            <w:pPr>
              <w:spacing w:after="0" w:line="240" w:lineRule="auto"/>
              <w:rPr>
                <w:rFonts w:ascii="Garamond" w:hAnsi="Garamond"/>
                <w:color w:val="000000"/>
                <w:sz w:val="18"/>
                <w:szCs w:val="18"/>
              </w:rPr>
            </w:pP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72"/>
        </w:trPr>
        <w:tc>
          <w:tcPr>
            <w:tcW w:w="720" w:type="dxa"/>
            <w:vMerge w:val="restart"/>
            <w:tcBorders>
              <w:top w:val="nil"/>
              <w:left w:val="single" w:sz="4" w:space="0" w:color="auto"/>
              <w:bottom w:val="single" w:sz="4" w:space="0" w:color="000000"/>
              <w:right w:val="single" w:sz="4" w:space="0" w:color="auto"/>
            </w:tcBorders>
            <w:shd w:val="clear" w:color="000000" w:fill="C4D79B"/>
            <w:hideMark/>
          </w:tcPr>
          <w:p w:rsidR="00CE4FCD" w:rsidRPr="00F2489D" w:rsidRDefault="00CE4FCD" w:rsidP="00171CF3">
            <w:pPr>
              <w:spacing w:after="0" w:line="240" w:lineRule="auto"/>
              <w:jc w:val="right"/>
              <w:rPr>
                <w:rFonts w:ascii="Garamond" w:hAnsi="Garamond"/>
                <w:color w:val="000000"/>
                <w:sz w:val="18"/>
                <w:szCs w:val="18"/>
              </w:rPr>
            </w:pPr>
            <w:r w:rsidRPr="00F2489D">
              <w:rPr>
                <w:rFonts w:ascii="Garamond" w:hAnsi="Garamond"/>
                <w:color w:val="000000"/>
                <w:sz w:val="18"/>
                <w:szCs w:val="18"/>
              </w:rPr>
              <w:t>2.1</w:t>
            </w:r>
          </w:p>
        </w:tc>
        <w:tc>
          <w:tcPr>
            <w:tcW w:w="2562" w:type="dxa"/>
            <w:vMerge w:val="restart"/>
            <w:tcBorders>
              <w:top w:val="nil"/>
              <w:left w:val="single" w:sz="4" w:space="0" w:color="auto"/>
              <w:bottom w:val="single" w:sz="4" w:space="0" w:color="000000"/>
              <w:right w:val="single" w:sz="4" w:space="0" w:color="auto"/>
            </w:tcBorders>
            <w:shd w:val="clear" w:color="000000" w:fill="C4D79B"/>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 xml:space="preserve">Outputs 2.1: Remittances inflow enhanced to support development financing in Ethiopia </w:t>
            </w: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Enabling policy &amp; legal frameworks developed</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Number of institutions licensed for money transfer</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58"/>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Number of money transfer agents that opened branches abroad</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24"/>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Number of banks that opened branches in selected countries with large concentration of diaspora</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2562" w:type="dxa"/>
            <w:tcBorders>
              <w:top w:val="nil"/>
              <w:left w:val="nil"/>
              <w:bottom w:val="single" w:sz="4" w:space="0" w:color="auto"/>
              <w:right w:val="single" w:sz="4" w:space="0" w:color="auto"/>
            </w:tcBorders>
            <w:shd w:val="clear" w:color="auto" w:fill="auto"/>
            <w:noWrap/>
            <w:vAlign w:val="center"/>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Key interventions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016"/>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2.1.1</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Develop policies and legal frameworks to engage other institutions (post offices, cooperatives, microfinance institutions, or possibly telecom operators) and enhance competition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NBE, MoFEC,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588"/>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2.1.2</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Provide licenses for relevant institutions to engage in remittance transfer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NBE, MoT</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65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lastRenderedPageBreak/>
              <w:t>2.1.3</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Facilitate money transfer agents or banks to open branches in countries with large diaspora concentration</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Money Trasfer agents/banks, NBE, Ministry of Foreign Affairs (MoFA)</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vMerge w:val="restart"/>
            <w:tcBorders>
              <w:top w:val="nil"/>
              <w:left w:val="single" w:sz="4" w:space="0" w:color="auto"/>
              <w:bottom w:val="single" w:sz="4" w:space="0" w:color="000000"/>
              <w:right w:val="single" w:sz="4" w:space="0" w:color="auto"/>
            </w:tcBorders>
            <w:shd w:val="clear" w:color="000000" w:fill="C4D79B"/>
            <w:hideMark/>
          </w:tcPr>
          <w:p w:rsidR="00CE4FCD" w:rsidRPr="00F2489D" w:rsidRDefault="00CE4FCD" w:rsidP="00171CF3">
            <w:pPr>
              <w:spacing w:after="0" w:line="240" w:lineRule="auto"/>
              <w:jc w:val="right"/>
              <w:rPr>
                <w:rFonts w:ascii="Garamond" w:hAnsi="Garamond"/>
                <w:color w:val="000000"/>
                <w:sz w:val="18"/>
                <w:szCs w:val="18"/>
              </w:rPr>
            </w:pPr>
            <w:r w:rsidRPr="00F2489D">
              <w:rPr>
                <w:rFonts w:ascii="Garamond" w:hAnsi="Garamond"/>
                <w:color w:val="000000"/>
                <w:sz w:val="18"/>
                <w:szCs w:val="18"/>
              </w:rPr>
              <w:t>2.2</w:t>
            </w:r>
          </w:p>
        </w:tc>
        <w:tc>
          <w:tcPr>
            <w:tcW w:w="2562" w:type="dxa"/>
            <w:vMerge w:val="restart"/>
            <w:tcBorders>
              <w:top w:val="nil"/>
              <w:left w:val="single" w:sz="4" w:space="0" w:color="auto"/>
              <w:bottom w:val="single" w:sz="4" w:space="0" w:color="000000"/>
              <w:right w:val="single" w:sz="4" w:space="0" w:color="auto"/>
            </w:tcBorders>
            <w:shd w:val="clear" w:color="000000" w:fill="C4D79B"/>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 xml:space="preserve"> Outputs 2.2: Quality and diversified FDIs attracted to support development financing in Ethiopia</w:t>
            </w:r>
          </w:p>
        </w:tc>
        <w:tc>
          <w:tcPr>
            <w:tcW w:w="2183" w:type="dxa"/>
            <w:tcBorders>
              <w:top w:val="nil"/>
              <w:left w:val="nil"/>
              <w:bottom w:val="single" w:sz="4" w:space="0" w:color="auto"/>
              <w:right w:val="single" w:sz="4" w:space="0" w:color="auto"/>
            </w:tcBorders>
            <w:shd w:val="clear" w:color="000000" w:fill="C4D79B"/>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Number of foreign investors licensed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206"/>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noWrap/>
            <w:vAlign w:val="bottom"/>
            <w:hideMark/>
          </w:tcPr>
          <w:p w:rsidR="00CE4FCD" w:rsidRPr="00F2489D" w:rsidRDefault="00CE4FCD" w:rsidP="00D257BE">
            <w:pPr>
              <w:spacing w:after="0" w:line="240" w:lineRule="auto"/>
              <w:rPr>
                <w:rFonts w:ascii="Garamond" w:hAnsi="Garamond"/>
                <w:color w:val="000000"/>
                <w:sz w:val="18"/>
                <w:szCs w:val="18"/>
              </w:rPr>
            </w:pPr>
            <w:r>
              <w:rPr>
                <w:rFonts w:ascii="Garamond" w:hAnsi="Garamond"/>
                <w:color w:val="000000"/>
                <w:sz w:val="18"/>
                <w:szCs w:val="18"/>
              </w:rPr>
              <w:t>FDI</w:t>
            </w:r>
            <w:r w:rsidRPr="00F1457B">
              <w:rPr>
                <w:rFonts w:ascii="Garamond" w:hAnsi="Garamond"/>
                <w:color w:val="000000"/>
                <w:sz w:val="18"/>
                <w:szCs w:val="18"/>
              </w:rPr>
              <w:t xml:space="preserve"> as a percentage of total FDI</w:t>
            </w:r>
            <w:r w:rsidRPr="00F2489D">
              <w:rPr>
                <w:rFonts w:ascii="Garamond" w:hAnsi="Garamond"/>
                <w:color w:val="000000"/>
                <w:sz w:val="18"/>
                <w:szCs w:val="18"/>
              </w:rPr>
              <w:t xml:space="preserve">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260"/>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Number of FDI using industrial parks</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48"/>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Number of FDIs using incentive packages</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251"/>
        </w:trPr>
        <w:tc>
          <w:tcPr>
            <w:tcW w:w="720" w:type="dxa"/>
            <w:tcBorders>
              <w:top w:val="nil"/>
              <w:left w:val="single" w:sz="4" w:space="0" w:color="auto"/>
              <w:bottom w:val="single" w:sz="4" w:space="0" w:color="000000"/>
              <w:right w:val="single" w:sz="4" w:space="0" w:color="auto"/>
            </w:tcBorders>
            <w:vAlign w:val="center"/>
          </w:tcPr>
          <w:p w:rsidR="00CE4FCD" w:rsidRPr="00F2489D" w:rsidRDefault="00CE4FCD" w:rsidP="00171CF3">
            <w:pPr>
              <w:spacing w:after="0" w:line="240" w:lineRule="auto"/>
              <w:rPr>
                <w:rFonts w:ascii="Garamond" w:hAnsi="Garamond"/>
                <w:color w:val="000000"/>
                <w:sz w:val="18"/>
                <w:szCs w:val="18"/>
              </w:rPr>
            </w:pPr>
          </w:p>
        </w:tc>
        <w:tc>
          <w:tcPr>
            <w:tcW w:w="2562" w:type="dxa"/>
            <w:tcBorders>
              <w:top w:val="nil"/>
              <w:left w:val="single" w:sz="4" w:space="0" w:color="auto"/>
              <w:bottom w:val="single" w:sz="4" w:space="0" w:color="000000"/>
              <w:right w:val="single" w:sz="4" w:space="0" w:color="auto"/>
            </w:tcBorders>
            <w:vAlign w:val="center"/>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noWrap/>
            <w:vAlign w:val="bottom"/>
          </w:tcPr>
          <w:p w:rsidR="00CE4FCD" w:rsidRPr="00F2489D" w:rsidRDefault="00CE4FCD" w:rsidP="00F1457B">
            <w:pPr>
              <w:spacing w:after="0" w:line="240" w:lineRule="auto"/>
              <w:rPr>
                <w:rFonts w:ascii="Garamond" w:hAnsi="Garamond"/>
                <w:color w:val="000000"/>
                <w:sz w:val="18"/>
                <w:szCs w:val="18"/>
              </w:rPr>
            </w:pPr>
            <w:r w:rsidRPr="00F2489D">
              <w:rPr>
                <w:rFonts w:ascii="Garamond" w:hAnsi="Garamond"/>
                <w:color w:val="000000"/>
                <w:sz w:val="18"/>
                <w:szCs w:val="18"/>
              </w:rPr>
              <w:t>Type of FDIs by origin</w:t>
            </w: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576"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1710" w:type="dxa"/>
            <w:tcBorders>
              <w:top w:val="nil"/>
              <w:left w:val="nil"/>
              <w:bottom w:val="single" w:sz="4" w:space="0" w:color="auto"/>
              <w:right w:val="single" w:sz="4" w:space="0" w:color="auto"/>
            </w:tcBorders>
            <w:shd w:val="clear" w:color="auto" w:fill="auto"/>
            <w:vAlign w:val="bottom"/>
          </w:tcPr>
          <w:p w:rsidR="00CE4FCD" w:rsidRPr="00F2489D" w:rsidRDefault="00CE4FCD" w:rsidP="00171CF3">
            <w:pPr>
              <w:spacing w:after="0" w:line="240" w:lineRule="auto"/>
              <w:rPr>
                <w:rFonts w:ascii="Garamond" w:hAnsi="Garamond"/>
                <w:color w:val="000000"/>
                <w:sz w:val="18"/>
                <w:szCs w:val="18"/>
              </w:rPr>
            </w:pP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2.2.1</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Avail organized information to foreign investors regarding investment opportunities and incentives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EIC, ERCA, MoFA</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2.2.3  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Popularize investment opportunities through international media, meetings and conferences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EIC, ERCA, MoFA</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2.2.4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Target quality and high impact FDI</w:t>
            </w:r>
            <w:r>
              <w:rPr>
                <w:rFonts w:ascii="Garamond" w:hAnsi="Garamond"/>
                <w:color w:val="000000"/>
                <w:sz w:val="18"/>
                <w:szCs w:val="18"/>
              </w:rPr>
              <w:t>s</w:t>
            </w:r>
            <w:r w:rsidRPr="00F2489D">
              <w:rPr>
                <w:rFonts w:ascii="Garamond" w:hAnsi="Garamond"/>
                <w:color w:val="000000"/>
                <w:sz w:val="18"/>
                <w:szCs w:val="18"/>
              </w:rPr>
              <w:t xml:space="preserve"> from non-traditional FDI source countries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EIC, MoFA</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708"/>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424262">
            <w:pPr>
              <w:spacing w:after="0" w:line="240" w:lineRule="auto"/>
              <w:rPr>
                <w:rFonts w:ascii="Garamond" w:hAnsi="Garamond"/>
                <w:color w:val="000000"/>
                <w:sz w:val="18"/>
                <w:szCs w:val="18"/>
              </w:rPr>
            </w:pPr>
            <w:r w:rsidRPr="00F2489D">
              <w:rPr>
                <w:rFonts w:ascii="Garamond" w:hAnsi="Garamond"/>
                <w:color w:val="000000"/>
                <w:sz w:val="18"/>
                <w:szCs w:val="18"/>
              </w:rPr>
              <w:t>2.2.</w:t>
            </w:r>
            <w:r>
              <w:rPr>
                <w:rFonts w:ascii="Garamond" w:hAnsi="Garamond"/>
                <w:color w:val="000000"/>
                <w:sz w:val="18"/>
                <w:szCs w:val="18"/>
              </w:rPr>
              <w:t>5</w:t>
            </w:r>
            <w:r w:rsidRPr="00F2489D">
              <w:rPr>
                <w:rFonts w:ascii="Garamond" w:hAnsi="Garamond"/>
                <w:color w:val="000000"/>
                <w:sz w:val="18"/>
                <w:szCs w:val="18"/>
              </w:rPr>
              <w:t>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3D7EDF">
            <w:pPr>
              <w:spacing w:after="0" w:line="240" w:lineRule="auto"/>
              <w:rPr>
                <w:rFonts w:ascii="Garamond" w:hAnsi="Garamond"/>
                <w:color w:val="000000"/>
                <w:sz w:val="18"/>
                <w:szCs w:val="18"/>
              </w:rPr>
            </w:pPr>
            <w:r w:rsidRPr="00F2489D">
              <w:rPr>
                <w:rFonts w:ascii="Garamond" w:hAnsi="Garamond"/>
                <w:color w:val="000000"/>
                <w:sz w:val="18"/>
                <w:szCs w:val="18"/>
              </w:rPr>
              <w:t xml:space="preserve">Provide </w:t>
            </w:r>
            <w:r>
              <w:rPr>
                <w:rFonts w:ascii="Garamond" w:hAnsi="Garamond"/>
                <w:color w:val="000000"/>
                <w:sz w:val="18"/>
                <w:szCs w:val="18"/>
              </w:rPr>
              <w:t xml:space="preserve">and strengthen </w:t>
            </w:r>
            <w:r w:rsidRPr="00F2489D">
              <w:rPr>
                <w:rFonts w:ascii="Garamond" w:hAnsi="Garamond"/>
                <w:color w:val="000000"/>
                <w:sz w:val="18"/>
                <w:szCs w:val="18"/>
              </w:rPr>
              <w:t>a one-</w:t>
            </w:r>
            <w:r>
              <w:rPr>
                <w:rFonts w:ascii="Garamond" w:hAnsi="Garamond"/>
                <w:color w:val="000000"/>
                <w:sz w:val="18"/>
                <w:szCs w:val="18"/>
              </w:rPr>
              <w:t xml:space="preserve">window </w:t>
            </w:r>
            <w:r w:rsidRPr="00F2489D">
              <w:rPr>
                <w:rFonts w:ascii="Garamond" w:hAnsi="Garamond"/>
                <w:color w:val="000000"/>
                <w:sz w:val="18"/>
                <w:szCs w:val="18"/>
              </w:rPr>
              <w:t>service for FDI through strengthening the Ethiopian Investment Commission</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EIC,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60"/>
        </w:trPr>
        <w:tc>
          <w:tcPr>
            <w:tcW w:w="720" w:type="dxa"/>
            <w:vMerge w:val="restart"/>
            <w:tcBorders>
              <w:top w:val="nil"/>
              <w:left w:val="single" w:sz="4" w:space="0" w:color="auto"/>
              <w:bottom w:val="single" w:sz="4" w:space="0" w:color="000000"/>
              <w:right w:val="single" w:sz="4" w:space="0" w:color="auto"/>
            </w:tcBorders>
            <w:shd w:val="clear" w:color="000000" w:fill="DCE6F1"/>
            <w:noWrap/>
            <w:hideMark/>
          </w:tcPr>
          <w:p w:rsidR="00CE4FCD" w:rsidRPr="00F2489D" w:rsidRDefault="00CE4FCD" w:rsidP="00171CF3">
            <w:pPr>
              <w:spacing w:after="0" w:line="240" w:lineRule="auto"/>
              <w:jc w:val="center"/>
              <w:rPr>
                <w:rFonts w:ascii="Garamond" w:hAnsi="Garamond"/>
                <w:color w:val="000000"/>
                <w:sz w:val="18"/>
                <w:szCs w:val="18"/>
              </w:rPr>
            </w:pPr>
            <w:r w:rsidRPr="00F2489D">
              <w:rPr>
                <w:rFonts w:ascii="Garamond" w:hAnsi="Garamond"/>
                <w:color w:val="000000"/>
                <w:sz w:val="18"/>
                <w:szCs w:val="18"/>
              </w:rPr>
              <w:t>3</w:t>
            </w:r>
          </w:p>
        </w:tc>
        <w:tc>
          <w:tcPr>
            <w:tcW w:w="2562" w:type="dxa"/>
            <w:vMerge w:val="restart"/>
            <w:tcBorders>
              <w:top w:val="nil"/>
              <w:left w:val="single" w:sz="4" w:space="0" w:color="auto"/>
              <w:bottom w:val="single" w:sz="4" w:space="0" w:color="000000"/>
              <w:right w:val="single" w:sz="4" w:space="0" w:color="auto"/>
            </w:tcBorders>
            <w:shd w:val="clear" w:color="000000" w:fill="DCE6F1"/>
            <w:hideMark/>
          </w:tcPr>
          <w:p w:rsidR="00CE4FCD" w:rsidRPr="00F2489D" w:rsidRDefault="00CE4FCD" w:rsidP="00171CF3">
            <w:pPr>
              <w:spacing w:after="0" w:line="240" w:lineRule="auto"/>
              <w:rPr>
                <w:rFonts w:ascii="Garamond" w:hAnsi="Garamond"/>
                <w:b/>
                <w:bCs/>
                <w:sz w:val="18"/>
                <w:szCs w:val="18"/>
              </w:rPr>
            </w:pPr>
            <w:r w:rsidRPr="00F2489D">
              <w:rPr>
                <w:rFonts w:ascii="Garamond" w:hAnsi="Garamond"/>
                <w:b/>
                <w:bCs/>
                <w:sz w:val="18"/>
                <w:szCs w:val="18"/>
              </w:rPr>
              <w:t xml:space="preserve">Outcome 3: Grants and loans maximized through enhanced cooperation </w:t>
            </w:r>
          </w:p>
        </w:tc>
        <w:tc>
          <w:tcPr>
            <w:tcW w:w="2183" w:type="dxa"/>
            <w:tcBorders>
              <w:top w:val="nil"/>
              <w:left w:val="nil"/>
              <w:bottom w:val="single" w:sz="4" w:space="0" w:color="auto"/>
              <w:right w:val="single" w:sz="4" w:space="0" w:color="auto"/>
            </w:tcBorders>
            <w:shd w:val="clear" w:color="000000" w:fill="DCE6F1"/>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Increased utilization and delivery of grants and loans</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DCE6F1"/>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Grants and loans disbursed as a share of commitments</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vMerge w:val="restart"/>
            <w:tcBorders>
              <w:top w:val="nil"/>
              <w:left w:val="single" w:sz="4" w:space="0" w:color="auto"/>
              <w:bottom w:val="nil"/>
              <w:right w:val="single" w:sz="4" w:space="0" w:color="auto"/>
            </w:tcBorders>
            <w:shd w:val="clear" w:color="000000" w:fill="C4D79B"/>
            <w:hideMark/>
          </w:tcPr>
          <w:p w:rsidR="00CE4FCD" w:rsidRPr="00F2489D" w:rsidRDefault="00CE4FCD" w:rsidP="00171CF3">
            <w:pPr>
              <w:spacing w:after="0" w:line="240" w:lineRule="auto"/>
              <w:jc w:val="right"/>
              <w:rPr>
                <w:rFonts w:ascii="Garamond" w:hAnsi="Garamond"/>
                <w:color w:val="000000"/>
                <w:sz w:val="18"/>
                <w:szCs w:val="18"/>
              </w:rPr>
            </w:pPr>
            <w:r w:rsidRPr="00F2489D">
              <w:rPr>
                <w:rFonts w:ascii="Garamond" w:hAnsi="Garamond"/>
                <w:color w:val="000000"/>
                <w:sz w:val="18"/>
                <w:szCs w:val="18"/>
              </w:rPr>
              <w:t>3.1</w:t>
            </w:r>
          </w:p>
        </w:tc>
        <w:tc>
          <w:tcPr>
            <w:tcW w:w="2562" w:type="dxa"/>
            <w:vMerge w:val="restart"/>
            <w:tcBorders>
              <w:top w:val="nil"/>
              <w:left w:val="single" w:sz="4" w:space="0" w:color="auto"/>
              <w:bottom w:val="nil"/>
              <w:right w:val="single" w:sz="4" w:space="0" w:color="auto"/>
            </w:tcBorders>
            <w:shd w:val="clear" w:color="000000" w:fill="C4D79B"/>
            <w:hideMark/>
          </w:tcPr>
          <w:p w:rsidR="00CE4FCD" w:rsidRPr="00F2489D" w:rsidRDefault="00CE4FCD" w:rsidP="00A70812">
            <w:pPr>
              <w:spacing w:after="0" w:line="240" w:lineRule="auto"/>
              <w:rPr>
                <w:rFonts w:ascii="Garamond" w:hAnsi="Garamond"/>
                <w:b/>
                <w:bCs/>
                <w:color w:val="000000"/>
                <w:sz w:val="18"/>
                <w:szCs w:val="18"/>
              </w:rPr>
            </w:pPr>
            <w:r w:rsidRPr="00F2489D">
              <w:rPr>
                <w:rFonts w:ascii="Garamond" w:hAnsi="Garamond"/>
                <w:b/>
                <w:bCs/>
                <w:color w:val="000000"/>
                <w:sz w:val="18"/>
                <w:szCs w:val="18"/>
              </w:rPr>
              <w:t>Output 3.1: Official development assistance (ODA)</w:t>
            </w:r>
            <w:r w:rsidR="00D86AEC">
              <w:rPr>
                <w:rFonts w:ascii="Garamond" w:hAnsi="Garamond"/>
                <w:b/>
                <w:bCs/>
                <w:color w:val="000000"/>
                <w:sz w:val="18"/>
                <w:szCs w:val="18"/>
              </w:rPr>
              <w:t xml:space="preserve"> from traditional sources</w:t>
            </w:r>
            <w:r w:rsidRPr="00F2489D">
              <w:rPr>
                <w:rFonts w:ascii="Garamond" w:hAnsi="Garamond"/>
                <w:b/>
                <w:bCs/>
                <w:color w:val="000000"/>
                <w:sz w:val="18"/>
                <w:szCs w:val="18"/>
              </w:rPr>
              <w:t xml:space="preserve"> enhanced </w:t>
            </w:r>
          </w:p>
        </w:tc>
        <w:tc>
          <w:tcPr>
            <w:tcW w:w="2183" w:type="dxa"/>
            <w:tcBorders>
              <w:top w:val="nil"/>
              <w:left w:val="nil"/>
              <w:bottom w:val="single" w:sz="4" w:space="0" w:color="auto"/>
              <w:right w:val="single" w:sz="4" w:space="0" w:color="auto"/>
            </w:tcBorders>
            <w:shd w:val="clear" w:color="000000" w:fill="C4D79B"/>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Amount of ODA generated </w:t>
            </w:r>
            <w:r w:rsidR="0001238E">
              <w:rPr>
                <w:rFonts w:ascii="Garamond" w:hAnsi="Garamond"/>
                <w:color w:val="000000"/>
                <w:sz w:val="18"/>
                <w:szCs w:val="18"/>
              </w:rPr>
              <w:t xml:space="preserve">from traditional sources </w:t>
            </w:r>
            <w:r w:rsidRPr="00F2489D">
              <w:rPr>
                <w:rFonts w:ascii="Garamond" w:hAnsi="Garamond"/>
                <w:color w:val="000000"/>
                <w:sz w:val="18"/>
                <w:szCs w:val="18"/>
              </w:rPr>
              <w:t>through blended finance (in Million USD)</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vMerge/>
            <w:tcBorders>
              <w:top w:val="nil"/>
              <w:left w:val="single" w:sz="4" w:space="0" w:color="auto"/>
              <w:bottom w:val="nil"/>
              <w:right w:val="single" w:sz="4" w:space="0" w:color="auto"/>
            </w:tcBorders>
            <w:shd w:val="clear" w:color="000000" w:fill="C4D79B"/>
          </w:tcPr>
          <w:p w:rsidR="00CE4FCD" w:rsidRPr="00F2489D" w:rsidRDefault="00CE4FCD" w:rsidP="00171CF3">
            <w:pPr>
              <w:spacing w:after="0" w:line="240" w:lineRule="auto"/>
              <w:jc w:val="right"/>
              <w:rPr>
                <w:rFonts w:ascii="Garamond" w:hAnsi="Garamond"/>
                <w:color w:val="000000"/>
                <w:sz w:val="18"/>
                <w:szCs w:val="18"/>
              </w:rPr>
            </w:pPr>
          </w:p>
        </w:tc>
        <w:tc>
          <w:tcPr>
            <w:tcW w:w="2562" w:type="dxa"/>
            <w:vMerge/>
            <w:tcBorders>
              <w:top w:val="nil"/>
              <w:left w:val="single" w:sz="4" w:space="0" w:color="auto"/>
              <w:bottom w:val="nil"/>
              <w:right w:val="single" w:sz="4" w:space="0" w:color="auto"/>
            </w:tcBorders>
            <w:shd w:val="clear" w:color="000000" w:fill="C4D79B"/>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vAlign w:val="bottom"/>
          </w:tcPr>
          <w:p w:rsidR="00CE4FCD" w:rsidRPr="00F2489D" w:rsidRDefault="00CE4FCD" w:rsidP="00A70812">
            <w:pPr>
              <w:spacing w:after="0" w:line="240" w:lineRule="auto"/>
              <w:rPr>
                <w:rFonts w:ascii="Garamond" w:hAnsi="Garamond"/>
                <w:color w:val="000000"/>
                <w:sz w:val="18"/>
                <w:szCs w:val="18"/>
              </w:rPr>
            </w:pPr>
            <w:r>
              <w:rPr>
                <w:rFonts w:ascii="Garamond" w:hAnsi="Garamond"/>
                <w:color w:val="000000"/>
                <w:sz w:val="18"/>
                <w:szCs w:val="18"/>
              </w:rPr>
              <w:t>ODA</w:t>
            </w:r>
            <w:r w:rsidR="0001238E">
              <w:rPr>
                <w:rFonts w:ascii="Garamond" w:hAnsi="Garamond"/>
                <w:color w:val="000000"/>
                <w:sz w:val="18"/>
                <w:szCs w:val="18"/>
              </w:rPr>
              <w:t xml:space="preserve"> </w:t>
            </w:r>
            <w:r>
              <w:rPr>
                <w:rFonts w:ascii="Garamond" w:hAnsi="Garamond"/>
                <w:color w:val="000000"/>
                <w:sz w:val="18"/>
                <w:szCs w:val="18"/>
              </w:rPr>
              <w:t xml:space="preserve">per capita </w:t>
            </w:r>
            <w:r w:rsidR="00A70812">
              <w:rPr>
                <w:rFonts w:ascii="Garamond" w:hAnsi="Garamond"/>
                <w:color w:val="000000"/>
                <w:sz w:val="18"/>
                <w:szCs w:val="18"/>
              </w:rPr>
              <w:t xml:space="preserve">from traditional sources </w:t>
            </w:r>
            <w:r>
              <w:rPr>
                <w:rFonts w:ascii="Garamond" w:hAnsi="Garamond"/>
                <w:color w:val="000000"/>
                <w:sz w:val="18"/>
                <w:szCs w:val="18"/>
              </w:rPr>
              <w:t>(In USD)</w:t>
            </w: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576"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1710" w:type="dxa"/>
            <w:tcBorders>
              <w:top w:val="nil"/>
              <w:left w:val="nil"/>
              <w:bottom w:val="single" w:sz="4" w:space="0" w:color="auto"/>
              <w:right w:val="single" w:sz="4" w:space="0" w:color="auto"/>
            </w:tcBorders>
            <w:shd w:val="clear" w:color="auto" w:fill="auto"/>
            <w:vAlign w:val="bottom"/>
          </w:tcPr>
          <w:p w:rsidR="00CE4FCD" w:rsidRPr="00F2489D" w:rsidRDefault="00CE4FCD" w:rsidP="00171CF3">
            <w:pPr>
              <w:spacing w:after="0" w:line="240" w:lineRule="auto"/>
              <w:rPr>
                <w:rFonts w:ascii="Garamond" w:hAnsi="Garamond"/>
                <w:color w:val="000000"/>
                <w:sz w:val="18"/>
                <w:szCs w:val="18"/>
              </w:rPr>
            </w:pP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23"/>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vAlign w:val="bottom"/>
            <w:hideMark/>
          </w:tcPr>
          <w:p w:rsidR="00CE4FCD" w:rsidRPr="00F2489D" w:rsidRDefault="00A35946" w:rsidP="00171CF3">
            <w:pPr>
              <w:spacing w:after="0" w:line="240" w:lineRule="auto"/>
              <w:rPr>
                <w:rFonts w:ascii="Garamond" w:hAnsi="Garamond"/>
                <w:color w:val="000000"/>
                <w:sz w:val="18"/>
                <w:szCs w:val="18"/>
              </w:rPr>
            </w:pPr>
            <w:r>
              <w:rPr>
                <w:rFonts w:ascii="Garamond" w:hAnsi="Garamond"/>
                <w:color w:val="000000"/>
                <w:sz w:val="18"/>
                <w:szCs w:val="18"/>
              </w:rPr>
              <w:t>ODA from traditional sources as a share of GDP (Percent)</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70"/>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noWrap/>
            <w:vAlign w:val="bottom"/>
            <w:hideMark/>
          </w:tcPr>
          <w:p w:rsidR="00CE4FCD" w:rsidRPr="00F2489D" w:rsidRDefault="00CE4FCD" w:rsidP="00171CF3">
            <w:pPr>
              <w:spacing w:after="0" w:line="240" w:lineRule="auto"/>
              <w:rPr>
                <w:rFonts w:ascii="Garamond" w:hAnsi="Garamond"/>
                <w:color w:val="000000"/>
                <w:sz w:val="18"/>
                <w:szCs w:val="18"/>
              </w:rPr>
            </w:pPr>
            <w:r>
              <w:rPr>
                <w:rFonts w:ascii="Garamond" w:hAnsi="Garamond"/>
                <w:color w:val="000000"/>
                <w:sz w:val="18"/>
                <w:szCs w:val="18"/>
              </w:rPr>
              <w:t>G</w:t>
            </w:r>
            <w:r w:rsidRPr="00F2489D">
              <w:rPr>
                <w:rFonts w:ascii="Garamond" w:hAnsi="Garamond"/>
                <w:color w:val="000000"/>
                <w:sz w:val="18"/>
                <w:szCs w:val="18"/>
              </w:rPr>
              <w:t>rants as a share of total ODA</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224"/>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noWrap/>
            <w:vAlign w:val="bottom"/>
            <w:hideMark/>
          </w:tcPr>
          <w:p w:rsidR="00CE4FCD" w:rsidRPr="00F2489D" w:rsidRDefault="00CE4FCD" w:rsidP="00171CF3">
            <w:pPr>
              <w:spacing w:after="0" w:line="240" w:lineRule="auto"/>
              <w:rPr>
                <w:rFonts w:ascii="Garamond" w:hAnsi="Garamond"/>
                <w:color w:val="000000"/>
                <w:sz w:val="18"/>
                <w:szCs w:val="18"/>
              </w:rPr>
            </w:pPr>
            <w:r>
              <w:rPr>
                <w:rFonts w:ascii="Garamond" w:hAnsi="Garamond"/>
                <w:color w:val="000000"/>
                <w:sz w:val="18"/>
                <w:szCs w:val="18"/>
              </w:rPr>
              <w:t>L</w:t>
            </w:r>
            <w:r w:rsidRPr="00F2489D">
              <w:rPr>
                <w:rFonts w:ascii="Garamond" w:hAnsi="Garamond"/>
                <w:color w:val="000000"/>
                <w:sz w:val="18"/>
                <w:szCs w:val="18"/>
              </w:rPr>
              <w:t>oans as a share of total ODA</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24"/>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Improved implementation capacity of public and private sectors (including contractors)</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2562" w:type="dxa"/>
            <w:tcBorders>
              <w:top w:val="single" w:sz="4" w:space="0" w:color="auto"/>
              <w:left w:val="nil"/>
              <w:bottom w:val="single" w:sz="4" w:space="0" w:color="auto"/>
              <w:right w:val="single" w:sz="4" w:space="0" w:color="auto"/>
            </w:tcBorders>
            <w:shd w:val="clear" w:color="auto" w:fill="auto"/>
            <w:noWrap/>
            <w:vAlign w:val="center"/>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 xml:space="preserve">Key interventions: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3.1.1</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Enhance ODA inflow through blended finance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58"/>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3.1.2</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Diversify ODA through targeting non-traditional development partners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16"/>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lastRenderedPageBreak/>
              <w:t>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Strengthen the implementation capacity of government, especially ODA-financed projects through regular monitoring and evaluation</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72"/>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3.1.3</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Support and facilitate timely disbursement of ODA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86"/>
        </w:trPr>
        <w:tc>
          <w:tcPr>
            <w:tcW w:w="720" w:type="dxa"/>
            <w:vMerge w:val="restart"/>
            <w:tcBorders>
              <w:top w:val="nil"/>
              <w:left w:val="single" w:sz="4" w:space="0" w:color="auto"/>
              <w:bottom w:val="nil"/>
              <w:right w:val="single" w:sz="4" w:space="0" w:color="auto"/>
            </w:tcBorders>
            <w:shd w:val="clear" w:color="000000" w:fill="C4D79B"/>
            <w:hideMark/>
          </w:tcPr>
          <w:p w:rsidR="00CE4FCD" w:rsidRPr="00F2489D" w:rsidRDefault="00CE4FCD" w:rsidP="00171CF3">
            <w:pPr>
              <w:spacing w:after="0" w:line="240" w:lineRule="auto"/>
              <w:jc w:val="right"/>
              <w:rPr>
                <w:rFonts w:ascii="Garamond" w:hAnsi="Garamond"/>
                <w:b/>
                <w:bCs/>
                <w:color w:val="000000"/>
                <w:sz w:val="18"/>
                <w:szCs w:val="18"/>
              </w:rPr>
            </w:pPr>
            <w:r w:rsidRPr="00F2489D">
              <w:rPr>
                <w:rFonts w:ascii="Garamond" w:hAnsi="Garamond"/>
                <w:b/>
                <w:bCs/>
                <w:color w:val="000000"/>
                <w:sz w:val="18"/>
                <w:szCs w:val="18"/>
              </w:rPr>
              <w:t>3.2</w:t>
            </w:r>
          </w:p>
        </w:tc>
        <w:tc>
          <w:tcPr>
            <w:tcW w:w="2562" w:type="dxa"/>
            <w:vMerge w:val="restart"/>
            <w:tcBorders>
              <w:top w:val="nil"/>
              <w:left w:val="single" w:sz="4" w:space="0" w:color="auto"/>
              <w:bottom w:val="nil"/>
              <w:right w:val="single" w:sz="4" w:space="0" w:color="auto"/>
            </w:tcBorders>
            <w:shd w:val="clear" w:color="000000" w:fill="C4D79B"/>
            <w:hideMark/>
          </w:tcPr>
          <w:p w:rsidR="00CE4FCD" w:rsidRPr="00F2489D" w:rsidRDefault="00CE4FCD" w:rsidP="003B322F">
            <w:pPr>
              <w:spacing w:after="0" w:line="240" w:lineRule="auto"/>
              <w:rPr>
                <w:rFonts w:ascii="Garamond" w:hAnsi="Garamond"/>
                <w:b/>
                <w:bCs/>
                <w:color w:val="000000"/>
                <w:sz w:val="18"/>
                <w:szCs w:val="18"/>
              </w:rPr>
            </w:pPr>
            <w:r w:rsidRPr="00F2489D">
              <w:rPr>
                <w:rFonts w:ascii="Garamond" w:hAnsi="Garamond"/>
                <w:b/>
                <w:bCs/>
                <w:color w:val="000000"/>
                <w:sz w:val="18"/>
                <w:szCs w:val="18"/>
              </w:rPr>
              <w:t xml:space="preserve">Outputs 3.2: </w:t>
            </w:r>
            <w:r w:rsidR="003B322F">
              <w:rPr>
                <w:rFonts w:ascii="Garamond" w:hAnsi="Garamond"/>
                <w:b/>
                <w:bCs/>
                <w:color w:val="000000"/>
                <w:sz w:val="18"/>
                <w:szCs w:val="18"/>
              </w:rPr>
              <w:t xml:space="preserve">South-South and triangular cooperation enhanced to mobilize new and additional finance </w:t>
            </w:r>
            <w:r w:rsidR="005425AB">
              <w:rPr>
                <w:rFonts w:ascii="Garamond" w:hAnsi="Garamond"/>
                <w:b/>
                <w:bCs/>
                <w:color w:val="000000"/>
                <w:sz w:val="18"/>
                <w:szCs w:val="18"/>
              </w:rPr>
              <w:t>sources</w:t>
            </w: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672B30">
            <w:pPr>
              <w:spacing w:after="0" w:line="240" w:lineRule="auto"/>
              <w:rPr>
                <w:rFonts w:ascii="Garamond" w:hAnsi="Garamond"/>
                <w:color w:val="000000"/>
                <w:sz w:val="18"/>
                <w:szCs w:val="18"/>
              </w:rPr>
            </w:pPr>
            <w:r w:rsidRPr="00F2489D">
              <w:rPr>
                <w:rFonts w:ascii="Garamond" w:hAnsi="Garamond"/>
                <w:color w:val="000000"/>
                <w:sz w:val="18"/>
                <w:szCs w:val="18"/>
              </w:rPr>
              <w:t xml:space="preserve"> </w:t>
            </w:r>
            <w:r w:rsidR="00672B30" w:rsidRPr="00F2489D">
              <w:rPr>
                <w:rFonts w:ascii="Garamond" w:hAnsi="Garamond"/>
                <w:color w:val="000000"/>
                <w:sz w:val="18"/>
                <w:szCs w:val="18"/>
              </w:rPr>
              <w:t xml:space="preserve">Amount of ODA generated </w:t>
            </w:r>
            <w:r w:rsidR="00672B30">
              <w:rPr>
                <w:rFonts w:ascii="Garamond" w:hAnsi="Garamond"/>
                <w:color w:val="000000"/>
                <w:sz w:val="18"/>
                <w:szCs w:val="18"/>
              </w:rPr>
              <w:t xml:space="preserve">from </w:t>
            </w:r>
            <w:r w:rsidR="00672B30" w:rsidRPr="00F2489D">
              <w:rPr>
                <w:rFonts w:ascii="Garamond" w:hAnsi="Garamond"/>
                <w:color w:val="000000"/>
                <w:sz w:val="18"/>
                <w:szCs w:val="18"/>
              </w:rPr>
              <w:t>South-South cooperation (in Million USD)</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24"/>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693EEA">
            <w:pPr>
              <w:spacing w:after="0" w:line="240" w:lineRule="auto"/>
              <w:rPr>
                <w:rFonts w:ascii="Garamond" w:hAnsi="Garamond"/>
                <w:color w:val="000000"/>
                <w:sz w:val="18"/>
                <w:szCs w:val="18"/>
              </w:rPr>
            </w:pPr>
            <w:r w:rsidRPr="00F2489D">
              <w:rPr>
                <w:rFonts w:ascii="Garamond" w:hAnsi="Garamond"/>
                <w:color w:val="000000"/>
                <w:sz w:val="18"/>
                <w:szCs w:val="18"/>
              </w:rPr>
              <w:t xml:space="preserve">Number of new financial sources identified </w:t>
            </w:r>
            <w:r w:rsidR="00693EEA">
              <w:rPr>
                <w:rFonts w:ascii="Garamond" w:hAnsi="Garamond"/>
                <w:color w:val="000000"/>
                <w:sz w:val="18"/>
                <w:szCs w:val="18"/>
              </w:rPr>
              <w:t xml:space="preserve">through South-South cooperation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58"/>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CE4FCD" w:rsidP="00782913">
            <w:pPr>
              <w:spacing w:after="0" w:line="240" w:lineRule="auto"/>
              <w:rPr>
                <w:rFonts w:ascii="Garamond" w:hAnsi="Garamond"/>
                <w:color w:val="000000"/>
                <w:sz w:val="18"/>
                <w:szCs w:val="18"/>
              </w:rPr>
            </w:pPr>
            <w:r w:rsidRPr="00F2489D">
              <w:rPr>
                <w:rFonts w:ascii="Garamond" w:hAnsi="Garamond"/>
                <w:color w:val="000000"/>
                <w:sz w:val="18"/>
                <w:szCs w:val="18"/>
              </w:rPr>
              <w:t>Number of South-South cooperation agreements signed</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50"/>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hideMark/>
          </w:tcPr>
          <w:p w:rsidR="00CE4FCD" w:rsidRPr="00F2489D" w:rsidRDefault="00E626A5" w:rsidP="001F5471">
            <w:pPr>
              <w:spacing w:after="0" w:line="240" w:lineRule="auto"/>
              <w:rPr>
                <w:rFonts w:ascii="Garamond" w:hAnsi="Garamond"/>
                <w:color w:val="000000"/>
                <w:sz w:val="18"/>
                <w:szCs w:val="18"/>
              </w:rPr>
            </w:pPr>
            <w:r>
              <w:rPr>
                <w:rFonts w:ascii="Garamond" w:hAnsi="Garamond"/>
                <w:color w:val="000000"/>
                <w:sz w:val="18"/>
                <w:szCs w:val="18"/>
              </w:rPr>
              <w:t xml:space="preserve">Number of bilateral </w:t>
            </w:r>
            <w:r w:rsidR="0031012E">
              <w:rPr>
                <w:rFonts w:ascii="Garamond" w:hAnsi="Garamond"/>
                <w:color w:val="000000"/>
                <w:sz w:val="18"/>
                <w:szCs w:val="18"/>
              </w:rPr>
              <w:t xml:space="preserve">trade </w:t>
            </w:r>
            <w:r w:rsidR="00A02B90">
              <w:rPr>
                <w:rFonts w:ascii="Garamond" w:hAnsi="Garamond"/>
                <w:color w:val="000000"/>
                <w:sz w:val="18"/>
                <w:szCs w:val="18"/>
              </w:rPr>
              <w:t xml:space="preserve">agreements signed </w:t>
            </w:r>
            <w:r w:rsidR="001F5471">
              <w:rPr>
                <w:rFonts w:ascii="Garamond" w:hAnsi="Garamond"/>
                <w:color w:val="000000"/>
                <w:sz w:val="18"/>
                <w:szCs w:val="18"/>
              </w:rPr>
              <w:t xml:space="preserve">through South-South cooperation </w:t>
            </w:r>
            <w:r>
              <w:rPr>
                <w:rFonts w:ascii="Garamond" w:hAnsi="Garamond"/>
                <w:color w:val="000000"/>
                <w:sz w:val="18"/>
                <w:szCs w:val="18"/>
              </w:rPr>
              <w:t xml:space="preserve">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146C4D" w:rsidRPr="00F2489D" w:rsidTr="00441C11">
        <w:trPr>
          <w:trHeight w:val="350"/>
        </w:trPr>
        <w:tc>
          <w:tcPr>
            <w:tcW w:w="720" w:type="dxa"/>
            <w:tcBorders>
              <w:top w:val="nil"/>
              <w:left w:val="single" w:sz="4" w:space="0" w:color="auto"/>
              <w:bottom w:val="nil"/>
              <w:right w:val="single" w:sz="4" w:space="0" w:color="auto"/>
            </w:tcBorders>
            <w:vAlign w:val="center"/>
          </w:tcPr>
          <w:p w:rsidR="00146C4D" w:rsidRPr="00F2489D" w:rsidRDefault="00146C4D" w:rsidP="00171CF3">
            <w:pPr>
              <w:spacing w:after="0" w:line="240" w:lineRule="auto"/>
              <w:rPr>
                <w:rFonts w:ascii="Garamond" w:hAnsi="Garamond"/>
                <w:b/>
                <w:bCs/>
                <w:color w:val="000000"/>
                <w:sz w:val="18"/>
                <w:szCs w:val="18"/>
              </w:rPr>
            </w:pPr>
          </w:p>
        </w:tc>
        <w:tc>
          <w:tcPr>
            <w:tcW w:w="2562" w:type="dxa"/>
            <w:tcBorders>
              <w:top w:val="nil"/>
              <w:left w:val="single" w:sz="4" w:space="0" w:color="auto"/>
              <w:bottom w:val="nil"/>
              <w:right w:val="single" w:sz="4" w:space="0" w:color="auto"/>
            </w:tcBorders>
            <w:vAlign w:val="center"/>
          </w:tcPr>
          <w:p w:rsidR="00146C4D" w:rsidRPr="00F2489D" w:rsidRDefault="00146C4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tcPr>
          <w:p w:rsidR="00146C4D" w:rsidRDefault="00146C4D" w:rsidP="001F5471">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146C4D" w:rsidRPr="00F2489D" w:rsidRDefault="00146C4D"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146C4D" w:rsidRPr="00F2489D" w:rsidRDefault="00146C4D"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146C4D" w:rsidRPr="00F2489D" w:rsidRDefault="00146C4D" w:rsidP="00171CF3">
            <w:pPr>
              <w:spacing w:after="0" w:line="240" w:lineRule="auto"/>
              <w:rPr>
                <w:rFonts w:ascii="Garamond" w:hAnsi="Garamond"/>
                <w:color w:val="000000"/>
                <w:sz w:val="18"/>
                <w:szCs w:val="18"/>
              </w:rPr>
            </w:pPr>
          </w:p>
        </w:tc>
        <w:tc>
          <w:tcPr>
            <w:tcW w:w="576" w:type="dxa"/>
            <w:tcBorders>
              <w:top w:val="nil"/>
              <w:left w:val="nil"/>
              <w:bottom w:val="single" w:sz="4" w:space="0" w:color="auto"/>
              <w:right w:val="single" w:sz="4" w:space="0" w:color="auto"/>
            </w:tcBorders>
            <w:shd w:val="clear" w:color="auto" w:fill="auto"/>
            <w:noWrap/>
            <w:vAlign w:val="bottom"/>
          </w:tcPr>
          <w:p w:rsidR="00146C4D" w:rsidRPr="00F2489D" w:rsidRDefault="00146C4D" w:rsidP="00171CF3">
            <w:pPr>
              <w:spacing w:after="0" w:line="240" w:lineRule="auto"/>
              <w:rPr>
                <w:rFonts w:ascii="Garamond" w:hAnsi="Garamond"/>
                <w:color w:val="000000"/>
                <w:sz w:val="18"/>
                <w:szCs w:val="18"/>
              </w:rPr>
            </w:pPr>
          </w:p>
        </w:tc>
        <w:tc>
          <w:tcPr>
            <w:tcW w:w="1710" w:type="dxa"/>
            <w:tcBorders>
              <w:top w:val="nil"/>
              <w:left w:val="nil"/>
              <w:bottom w:val="single" w:sz="4" w:space="0" w:color="auto"/>
              <w:right w:val="single" w:sz="4" w:space="0" w:color="auto"/>
            </w:tcBorders>
            <w:shd w:val="clear" w:color="auto" w:fill="auto"/>
            <w:vAlign w:val="bottom"/>
          </w:tcPr>
          <w:p w:rsidR="00146C4D" w:rsidRPr="00F2489D" w:rsidRDefault="00146C4D" w:rsidP="00171CF3">
            <w:pPr>
              <w:spacing w:after="0" w:line="240" w:lineRule="auto"/>
              <w:rPr>
                <w:rFonts w:ascii="Garamond" w:hAnsi="Garamond"/>
                <w:color w:val="000000"/>
                <w:sz w:val="18"/>
                <w:szCs w:val="18"/>
              </w:rPr>
            </w:pPr>
          </w:p>
        </w:tc>
        <w:tc>
          <w:tcPr>
            <w:tcW w:w="864" w:type="dxa"/>
            <w:gridSpan w:val="2"/>
            <w:tcBorders>
              <w:top w:val="nil"/>
              <w:left w:val="nil"/>
              <w:bottom w:val="single" w:sz="4" w:space="0" w:color="auto"/>
              <w:right w:val="single" w:sz="4" w:space="0" w:color="auto"/>
            </w:tcBorders>
          </w:tcPr>
          <w:p w:rsidR="00146C4D" w:rsidRPr="00F2489D" w:rsidRDefault="00146C4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2562" w:type="dxa"/>
            <w:tcBorders>
              <w:top w:val="single" w:sz="4" w:space="0" w:color="auto"/>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 xml:space="preserve">Key interventions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996"/>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3.2.1  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9D54BD">
            <w:pPr>
              <w:spacing w:after="0" w:line="240" w:lineRule="auto"/>
              <w:jc w:val="both"/>
              <w:rPr>
                <w:rFonts w:ascii="Garamond" w:hAnsi="Garamond"/>
                <w:color w:val="000000"/>
                <w:sz w:val="18"/>
                <w:szCs w:val="18"/>
              </w:rPr>
            </w:pPr>
            <w:r w:rsidRPr="00F2489D">
              <w:rPr>
                <w:rFonts w:ascii="Garamond" w:hAnsi="Garamond"/>
                <w:color w:val="000000"/>
                <w:sz w:val="18"/>
                <w:szCs w:val="18"/>
              </w:rPr>
              <w:t xml:space="preserve">Develop appropriate resources mobilization strategy to tap into new finance sources </w:t>
            </w:r>
            <w:r w:rsidR="00AD2798">
              <w:rPr>
                <w:rFonts w:ascii="Garamond" w:hAnsi="Garamond"/>
                <w:color w:val="000000"/>
                <w:sz w:val="18"/>
                <w:szCs w:val="18"/>
              </w:rPr>
              <w:t xml:space="preserve">through South-South cooperation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3.2.2    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930403">
            <w:pPr>
              <w:spacing w:after="0" w:line="240" w:lineRule="auto"/>
              <w:rPr>
                <w:rFonts w:ascii="Garamond" w:hAnsi="Garamond"/>
                <w:color w:val="000000"/>
                <w:sz w:val="18"/>
                <w:szCs w:val="18"/>
              </w:rPr>
            </w:pPr>
            <w:r w:rsidRPr="00F2489D">
              <w:rPr>
                <w:rFonts w:ascii="Garamond" w:hAnsi="Garamond"/>
                <w:color w:val="000000"/>
                <w:sz w:val="18"/>
                <w:szCs w:val="18"/>
              </w:rPr>
              <w:t>Explore financial sources such as bonds, climate finances, etc.</w:t>
            </w:r>
            <w:r w:rsidR="00AE0F7D">
              <w:rPr>
                <w:rFonts w:ascii="Garamond" w:hAnsi="Garamond"/>
                <w:color w:val="000000"/>
                <w:sz w:val="18"/>
                <w:szCs w:val="18"/>
              </w:rPr>
              <w:t xml:space="preserve"> through SSC</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MEFCC</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96"/>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3.2.3</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6C482F">
            <w:pPr>
              <w:spacing w:after="0" w:line="240" w:lineRule="auto"/>
              <w:rPr>
                <w:rFonts w:ascii="Garamond" w:hAnsi="Garamond"/>
                <w:color w:val="000000"/>
                <w:sz w:val="18"/>
                <w:szCs w:val="18"/>
              </w:rPr>
            </w:pPr>
            <w:r w:rsidRPr="00F2489D">
              <w:rPr>
                <w:rFonts w:ascii="Garamond" w:hAnsi="Garamond"/>
                <w:color w:val="000000"/>
                <w:sz w:val="18"/>
                <w:szCs w:val="18"/>
              </w:rPr>
              <w:t>Explore and identify new  finances instruments</w:t>
            </w:r>
            <w:r w:rsidR="00342F04">
              <w:rPr>
                <w:rFonts w:ascii="Garamond" w:hAnsi="Garamond"/>
                <w:color w:val="000000"/>
                <w:sz w:val="18"/>
                <w:szCs w:val="18"/>
              </w:rPr>
              <w:t xml:space="preserve"> (e.g. blended finance)</w:t>
            </w:r>
            <w:r w:rsidRPr="00F2489D">
              <w:rPr>
                <w:rFonts w:ascii="Garamond" w:hAnsi="Garamond"/>
                <w:color w:val="000000"/>
                <w:sz w:val="18"/>
                <w:szCs w:val="18"/>
              </w:rPr>
              <w:t xml:space="preserve"> </w:t>
            </w:r>
            <w:r w:rsidR="00E04F0F">
              <w:rPr>
                <w:rFonts w:ascii="Garamond" w:hAnsi="Garamond"/>
                <w:color w:val="000000"/>
                <w:sz w:val="18"/>
                <w:szCs w:val="18"/>
              </w:rPr>
              <w:t xml:space="preserve">from </w:t>
            </w:r>
            <w:r w:rsidR="00AE0F7D">
              <w:rPr>
                <w:rFonts w:ascii="Garamond" w:hAnsi="Garamond"/>
                <w:color w:val="000000"/>
                <w:sz w:val="18"/>
                <w:szCs w:val="18"/>
              </w:rPr>
              <w:t>SSC</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MEFCC</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24"/>
        </w:trPr>
        <w:tc>
          <w:tcPr>
            <w:tcW w:w="720" w:type="dxa"/>
            <w:tcBorders>
              <w:top w:val="nil"/>
              <w:left w:val="single" w:sz="4" w:space="0" w:color="auto"/>
              <w:bottom w:val="single" w:sz="4" w:space="0" w:color="auto"/>
              <w:right w:val="single" w:sz="4" w:space="0" w:color="auto"/>
            </w:tcBorders>
            <w:shd w:val="clear" w:color="auto" w:fill="auto"/>
            <w:noWrap/>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3.2.4</w:t>
            </w:r>
          </w:p>
        </w:tc>
        <w:tc>
          <w:tcPr>
            <w:tcW w:w="2562"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Strengthen South-South cooperation through bilateral, trilateral and interregional </w:t>
            </w:r>
            <w:r w:rsidR="00E04F0F">
              <w:rPr>
                <w:rFonts w:ascii="Garamond" w:hAnsi="Garamond"/>
                <w:color w:val="000000"/>
                <w:sz w:val="18"/>
                <w:szCs w:val="18"/>
              </w:rPr>
              <w:t xml:space="preserve">trade </w:t>
            </w:r>
            <w:r w:rsidRPr="00F2489D">
              <w:rPr>
                <w:rFonts w:ascii="Garamond" w:hAnsi="Garamond"/>
                <w:color w:val="000000"/>
                <w:sz w:val="18"/>
                <w:szCs w:val="18"/>
              </w:rPr>
              <w:t>initiatives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MoFEC, MoT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32"/>
        </w:trPr>
        <w:tc>
          <w:tcPr>
            <w:tcW w:w="720" w:type="dxa"/>
            <w:vMerge w:val="restart"/>
            <w:tcBorders>
              <w:top w:val="nil"/>
              <w:left w:val="single" w:sz="4" w:space="0" w:color="auto"/>
              <w:bottom w:val="single" w:sz="4" w:space="0" w:color="000000"/>
              <w:right w:val="single" w:sz="4" w:space="0" w:color="auto"/>
            </w:tcBorders>
            <w:shd w:val="clear" w:color="000000" w:fill="DCE6F1"/>
            <w:noWrap/>
            <w:hideMark/>
          </w:tcPr>
          <w:p w:rsidR="00CE4FCD" w:rsidRPr="00F2489D" w:rsidRDefault="00CE4FCD" w:rsidP="00171CF3">
            <w:pPr>
              <w:spacing w:after="0" w:line="240" w:lineRule="auto"/>
              <w:jc w:val="center"/>
              <w:rPr>
                <w:rFonts w:ascii="Garamond" w:hAnsi="Garamond"/>
                <w:color w:val="000000"/>
                <w:sz w:val="18"/>
                <w:szCs w:val="18"/>
              </w:rPr>
            </w:pPr>
            <w:r w:rsidRPr="00F2489D">
              <w:rPr>
                <w:rFonts w:ascii="Garamond" w:hAnsi="Garamond"/>
                <w:color w:val="000000"/>
                <w:sz w:val="18"/>
                <w:szCs w:val="18"/>
              </w:rPr>
              <w:t>4</w:t>
            </w:r>
          </w:p>
        </w:tc>
        <w:tc>
          <w:tcPr>
            <w:tcW w:w="2562" w:type="dxa"/>
            <w:vMerge w:val="restart"/>
            <w:tcBorders>
              <w:top w:val="nil"/>
              <w:left w:val="single" w:sz="4" w:space="0" w:color="auto"/>
              <w:bottom w:val="single" w:sz="4" w:space="0" w:color="000000"/>
              <w:right w:val="single" w:sz="4" w:space="0" w:color="auto"/>
            </w:tcBorders>
            <w:shd w:val="clear" w:color="000000" w:fill="DCE6F1"/>
            <w:hideMark/>
          </w:tcPr>
          <w:p w:rsidR="00CE4FCD" w:rsidRPr="00F2489D" w:rsidRDefault="00CE4FCD" w:rsidP="00171CF3">
            <w:pPr>
              <w:spacing w:after="0" w:line="240" w:lineRule="auto"/>
              <w:rPr>
                <w:rFonts w:ascii="Garamond" w:hAnsi="Garamond"/>
                <w:b/>
                <w:bCs/>
                <w:sz w:val="18"/>
                <w:szCs w:val="18"/>
              </w:rPr>
            </w:pPr>
            <w:r w:rsidRPr="00F2489D">
              <w:rPr>
                <w:rFonts w:ascii="Garamond" w:hAnsi="Garamond"/>
                <w:b/>
                <w:bCs/>
                <w:sz w:val="18"/>
                <w:szCs w:val="18"/>
              </w:rPr>
              <w:t xml:space="preserve">Outcome 4: Healthy external debt sustained </w:t>
            </w:r>
          </w:p>
        </w:tc>
        <w:tc>
          <w:tcPr>
            <w:tcW w:w="2183" w:type="dxa"/>
            <w:tcBorders>
              <w:top w:val="nil"/>
              <w:left w:val="nil"/>
              <w:bottom w:val="single" w:sz="4" w:space="0" w:color="auto"/>
              <w:right w:val="single" w:sz="4" w:space="0" w:color="auto"/>
            </w:tcBorders>
            <w:shd w:val="clear" w:color="000000" w:fill="DCE6F1"/>
            <w:hideMark/>
          </w:tcPr>
          <w:p w:rsidR="00CE4FCD" w:rsidRPr="00F2489D" w:rsidRDefault="00CE4FCD" w:rsidP="00171CF3">
            <w:pPr>
              <w:spacing w:after="0" w:line="240" w:lineRule="auto"/>
              <w:rPr>
                <w:rFonts w:ascii="Garamond" w:hAnsi="Garamond"/>
                <w:sz w:val="18"/>
                <w:szCs w:val="18"/>
              </w:rPr>
            </w:pPr>
            <w:r w:rsidRPr="00F2489D">
              <w:rPr>
                <w:rFonts w:ascii="Garamond" w:hAnsi="Garamond"/>
                <w:sz w:val="18"/>
                <w:szCs w:val="18"/>
              </w:rPr>
              <w:t>Present Value (PV) of debt to export, GDP and revenue ratios</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79"/>
        </w:trPr>
        <w:tc>
          <w:tcPr>
            <w:tcW w:w="720" w:type="dxa"/>
            <w:vMerge/>
            <w:tcBorders>
              <w:top w:val="nil"/>
              <w:left w:val="single" w:sz="4" w:space="0" w:color="auto"/>
              <w:bottom w:val="single" w:sz="4" w:space="0" w:color="000000"/>
              <w:right w:val="single" w:sz="4" w:space="0" w:color="auto"/>
            </w:tcBorders>
            <w:vAlign w:val="center"/>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DCE6F1"/>
          </w:tcPr>
          <w:p w:rsidR="00CE4FCD" w:rsidRPr="00F2489D" w:rsidRDefault="00CE4FCD" w:rsidP="00171CF3">
            <w:pPr>
              <w:spacing w:after="0" w:line="240" w:lineRule="auto"/>
              <w:rPr>
                <w:rFonts w:ascii="Garamond" w:hAnsi="Garamond"/>
                <w:sz w:val="18"/>
                <w:szCs w:val="18"/>
              </w:rPr>
            </w:pPr>
            <w:r w:rsidRPr="001678BB">
              <w:rPr>
                <w:rFonts w:ascii="Garamond" w:hAnsi="Garamond"/>
                <w:sz w:val="18"/>
                <w:szCs w:val="18"/>
              </w:rPr>
              <w:t>Debt service as a percentage of exports of</w:t>
            </w:r>
            <w:r>
              <w:rPr>
                <w:rFonts w:ascii="Garamond" w:hAnsi="Garamond"/>
                <w:sz w:val="18"/>
                <w:szCs w:val="18"/>
              </w:rPr>
              <w:t xml:space="preserve"> goods and services </w:t>
            </w: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576"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0000"/>
                <w:sz w:val="18"/>
                <w:szCs w:val="18"/>
              </w:rPr>
            </w:pPr>
          </w:p>
        </w:tc>
        <w:tc>
          <w:tcPr>
            <w:tcW w:w="1710" w:type="dxa"/>
            <w:tcBorders>
              <w:top w:val="nil"/>
              <w:left w:val="nil"/>
              <w:bottom w:val="single" w:sz="4" w:space="0" w:color="auto"/>
              <w:right w:val="single" w:sz="4" w:space="0" w:color="auto"/>
            </w:tcBorders>
            <w:shd w:val="clear" w:color="auto" w:fill="auto"/>
            <w:vAlign w:val="bottom"/>
          </w:tcPr>
          <w:p w:rsidR="00CE4FCD" w:rsidRPr="00F2489D" w:rsidRDefault="00CE4FCD" w:rsidP="00171CF3">
            <w:pPr>
              <w:spacing w:after="0" w:line="240" w:lineRule="auto"/>
              <w:rPr>
                <w:rFonts w:ascii="Garamond" w:hAnsi="Garamond"/>
                <w:color w:val="000000"/>
                <w:sz w:val="18"/>
                <w:szCs w:val="18"/>
              </w:rPr>
            </w:pP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79"/>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DCE6F1"/>
            <w:hideMark/>
          </w:tcPr>
          <w:p w:rsidR="00CE4FCD" w:rsidRPr="00F2489D" w:rsidRDefault="00CE4FCD" w:rsidP="00171CF3">
            <w:pPr>
              <w:spacing w:after="0" w:line="240" w:lineRule="auto"/>
              <w:rPr>
                <w:rFonts w:ascii="Garamond" w:hAnsi="Garamond"/>
                <w:sz w:val="18"/>
                <w:szCs w:val="18"/>
              </w:rPr>
            </w:pPr>
            <w:r w:rsidRPr="00F2489D">
              <w:rPr>
                <w:rFonts w:ascii="Garamond" w:hAnsi="Garamond"/>
                <w:sz w:val="18"/>
                <w:szCs w:val="18"/>
              </w:rPr>
              <w:t xml:space="preserve">Improved project implementation rate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233"/>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sz w:val="18"/>
                <w:szCs w:val="18"/>
              </w:rPr>
            </w:pPr>
          </w:p>
        </w:tc>
        <w:tc>
          <w:tcPr>
            <w:tcW w:w="2183" w:type="dxa"/>
            <w:tcBorders>
              <w:top w:val="nil"/>
              <w:left w:val="nil"/>
              <w:bottom w:val="single" w:sz="4" w:space="0" w:color="auto"/>
              <w:right w:val="single" w:sz="4" w:space="0" w:color="auto"/>
            </w:tcBorders>
            <w:shd w:val="clear" w:color="000000" w:fill="DCE6F1"/>
            <w:hideMark/>
          </w:tcPr>
          <w:p w:rsidR="00CE4FCD" w:rsidRPr="00F2489D" w:rsidRDefault="00CE4FCD" w:rsidP="00171CF3">
            <w:pPr>
              <w:spacing w:after="0" w:line="240" w:lineRule="auto"/>
              <w:rPr>
                <w:rFonts w:ascii="Garamond" w:hAnsi="Garamond"/>
                <w:sz w:val="18"/>
                <w:szCs w:val="18"/>
              </w:rPr>
            </w:pPr>
            <w:r w:rsidRPr="00F2489D">
              <w:rPr>
                <w:rFonts w:ascii="Garamond" w:hAnsi="Garamond"/>
                <w:sz w:val="18"/>
                <w:szCs w:val="18"/>
              </w:rPr>
              <w:t>Improved capacity to repay debt</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24"/>
        </w:trPr>
        <w:tc>
          <w:tcPr>
            <w:tcW w:w="720" w:type="dxa"/>
            <w:vMerge w:val="restart"/>
            <w:tcBorders>
              <w:top w:val="nil"/>
              <w:left w:val="single" w:sz="4" w:space="0" w:color="auto"/>
              <w:bottom w:val="nil"/>
              <w:right w:val="single" w:sz="4" w:space="0" w:color="auto"/>
            </w:tcBorders>
            <w:shd w:val="clear" w:color="000000" w:fill="C4D79B"/>
            <w:hideMark/>
          </w:tcPr>
          <w:p w:rsidR="00CE4FCD" w:rsidRPr="00F2489D" w:rsidRDefault="00CE4FCD" w:rsidP="00171CF3">
            <w:pPr>
              <w:spacing w:after="0" w:line="240" w:lineRule="auto"/>
              <w:jc w:val="right"/>
              <w:rPr>
                <w:rFonts w:ascii="Garamond" w:hAnsi="Garamond"/>
                <w:color w:val="000000"/>
                <w:sz w:val="18"/>
                <w:szCs w:val="18"/>
              </w:rPr>
            </w:pPr>
            <w:r w:rsidRPr="00F2489D">
              <w:rPr>
                <w:rFonts w:ascii="Garamond" w:hAnsi="Garamond"/>
                <w:color w:val="000000"/>
                <w:sz w:val="18"/>
                <w:szCs w:val="18"/>
              </w:rPr>
              <w:t>4.1</w:t>
            </w:r>
          </w:p>
        </w:tc>
        <w:tc>
          <w:tcPr>
            <w:tcW w:w="2562" w:type="dxa"/>
            <w:vMerge w:val="restart"/>
            <w:tcBorders>
              <w:top w:val="nil"/>
              <w:left w:val="single" w:sz="4" w:space="0" w:color="auto"/>
              <w:bottom w:val="nil"/>
              <w:right w:val="single" w:sz="4" w:space="0" w:color="auto"/>
            </w:tcBorders>
            <w:shd w:val="clear" w:color="000000" w:fill="C4D79B"/>
            <w:hideMark/>
          </w:tcPr>
          <w:p w:rsidR="00CE4FCD" w:rsidRPr="00F2489D" w:rsidRDefault="00CE4FCD" w:rsidP="001B5684">
            <w:pPr>
              <w:spacing w:after="0" w:line="240" w:lineRule="auto"/>
              <w:rPr>
                <w:rFonts w:ascii="Garamond" w:hAnsi="Garamond"/>
                <w:b/>
                <w:bCs/>
                <w:color w:val="000000"/>
                <w:sz w:val="18"/>
                <w:szCs w:val="18"/>
              </w:rPr>
            </w:pPr>
            <w:r w:rsidRPr="00F2489D">
              <w:rPr>
                <w:rFonts w:ascii="Garamond" w:hAnsi="Garamond"/>
                <w:b/>
                <w:bCs/>
                <w:color w:val="000000"/>
                <w:sz w:val="18"/>
                <w:szCs w:val="18"/>
              </w:rPr>
              <w:t xml:space="preserve">Output 4.1: </w:t>
            </w:r>
            <w:r>
              <w:rPr>
                <w:rFonts w:ascii="Garamond" w:hAnsi="Garamond"/>
                <w:b/>
                <w:bCs/>
                <w:color w:val="000000"/>
                <w:sz w:val="18"/>
                <w:szCs w:val="18"/>
              </w:rPr>
              <w:t>Government c</w:t>
            </w:r>
            <w:r w:rsidRPr="00F2489D">
              <w:rPr>
                <w:rFonts w:ascii="Garamond" w:hAnsi="Garamond"/>
                <w:b/>
                <w:bCs/>
                <w:color w:val="000000"/>
                <w:sz w:val="18"/>
                <w:szCs w:val="18"/>
              </w:rPr>
              <w:t>apacit</w:t>
            </w:r>
            <w:r>
              <w:rPr>
                <w:rFonts w:ascii="Garamond" w:hAnsi="Garamond"/>
                <w:b/>
                <w:bCs/>
                <w:color w:val="000000"/>
                <w:sz w:val="18"/>
                <w:szCs w:val="18"/>
              </w:rPr>
              <w:t>y</w:t>
            </w:r>
            <w:r w:rsidRPr="00F2489D">
              <w:rPr>
                <w:rFonts w:ascii="Garamond" w:hAnsi="Garamond"/>
                <w:b/>
                <w:bCs/>
                <w:color w:val="000000"/>
                <w:sz w:val="18"/>
                <w:szCs w:val="18"/>
              </w:rPr>
              <w:t xml:space="preserve"> improved in external resources utilizations, project planning, delivery and management </w:t>
            </w:r>
          </w:p>
        </w:tc>
        <w:tc>
          <w:tcPr>
            <w:tcW w:w="2183" w:type="dxa"/>
            <w:tcBorders>
              <w:top w:val="nil"/>
              <w:left w:val="nil"/>
              <w:bottom w:val="single" w:sz="4" w:space="0" w:color="auto"/>
              <w:right w:val="single" w:sz="4" w:space="0" w:color="auto"/>
            </w:tcBorders>
            <w:shd w:val="clear" w:color="000000" w:fill="C4D79B"/>
            <w:vAlign w:val="center"/>
            <w:hideMark/>
          </w:tcPr>
          <w:p w:rsidR="00CE4FCD" w:rsidRPr="00F2489D" w:rsidRDefault="00CE4FCD" w:rsidP="008337AD">
            <w:pPr>
              <w:spacing w:after="0" w:line="240" w:lineRule="auto"/>
              <w:rPr>
                <w:rFonts w:ascii="Garamond" w:hAnsi="Garamond"/>
                <w:color w:val="000000"/>
                <w:sz w:val="18"/>
                <w:szCs w:val="18"/>
              </w:rPr>
            </w:pPr>
            <w:r w:rsidRPr="00F2489D">
              <w:rPr>
                <w:rFonts w:ascii="Garamond" w:hAnsi="Garamond"/>
                <w:color w:val="000000"/>
                <w:sz w:val="18"/>
                <w:szCs w:val="18"/>
              </w:rPr>
              <w:t xml:space="preserve">Number </w:t>
            </w:r>
            <w:r>
              <w:rPr>
                <w:rFonts w:ascii="Garamond" w:hAnsi="Garamond"/>
                <w:color w:val="000000"/>
                <w:sz w:val="18"/>
                <w:szCs w:val="18"/>
              </w:rPr>
              <w:t xml:space="preserve">of people trained in project management, planning and management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56"/>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vAlign w:val="center"/>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Effective M&amp;E tools developed and implemented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31"/>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vAlign w:val="center"/>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Clear contract management tools and procedures in place</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2562" w:type="dxa"/>
            <w:tcBorders>
              <w:top w:val="single" w:sz="4" w:space="0" w:color="auto"/>
              <w:left w:val="nil"/>
              <w:bottom w:val="single" w:sz="4" w:space="0" w:color="auto"/>
              <w:right w:val="single" w:sz="4" w:space="0" w:color="auto"/>
            </w:tcBorders>
            <w:shd w:val="clear" w:color="auto" w:fill="auto"/>
            <w:noWrap/>
            <w:vAlign w:val="center"/>
            <w:hideMark/>
          </w:tcPr>
          <w:p w:rsidR="00CE4FCD" w:rsidRPr="00F2489D" w:rsidRDefault="00CE4FCD" w:rsidP="00171CF3">
            <w:pPr>
              <w:spacing w:after="0" w:line="240" w:lineRule="auto"/>
              <w:jc w:val="center"/>
              <w:rPr>
                <w:rFonts w:ascii="Garamond" w:hAnsi="Garamond"/>
                <w:b/>
                <w:bCs/>
                <w:color w:val="000000"/>
                <w:sz w:val="18"/>
                <w:szCs w:val="18"/>
              </w:rPr>
            </w:pPr>
            <w:r w:rsidRPr="00F2489D">
              <w:rPr>
                <w:rFonts w:ascii="Garamond" w:hAnsi="Garamond"/>
                <w:b/>
                <w:bCs/>
                <w:color w:val="000000"/>
                <w:sz w:val="18"/>
                <w:szCs w:val="18"/>
              </w:rPr>
              <w:t xml:space="preserve">Key Interventions: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746"/>
        </w:trPr>
        <w:tc>
          <w:tcPr>
            <w:tcW w:w="720" w:type="dxa"/>
            <w:tcBorders>
              <w:top w:val="nil"/>
              <w:left w:val="single" w:sz="4" w:space="0" w:color="auto"/>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4.1.1     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Build domestic capacities across sectors in project planning, management, monitoring, and contract administration</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NPC, MoFEC, DPs, Universities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9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lastRenderedPageBreak/>
              <w:t>4.1.2</w:t>
            </w:r>
          </w:p>
        </w:tc>
        <w:tc>
          <w:tcPr>
            <w:tcW w:w="2562" w:type="dxa"/>
            <w:tcBorders>
              <w:top w:val="single" w:sz="4" w:space="0" w:color="auto"/>
              <w:left w:val="nil"/>
              <w:bottom w:val="single" w:sz="4" w:space="0" w:color="auto"/>
              <w:right w:val="nil"/>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Design tailored-made training programmes in project design, planning, management, and implementation</w:t>
            </w:r>
          </w:p>
        </w:tc>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NPC, MoFEC,</w:t>
            </w:r>
          </w:p>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Universities, DPs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836"/>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4.1.3</w:t>
            </w:r>
          </w:p>
        </w:tc>
        <w:tc>
          <w:tcPr>
            <w:tcW w:w="2562" w:type="dxa"/>
            <w:tcBorders>
              <w:top w:val="single" w:sz="4" w:space="0" w:color="auto"/>
              <w:left w:val="nil"/>
              <w:bottom w:val="nil"/>
              <w:right w:val="nil"/>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Linking key government institutions with universities for strengthening capacity building in project design, planning, and management</w:t>
            </w:r>
          </w:p>
        </w:tc>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50"/>
        </w:trPr>
        <w:tc>
          <w:tcPr>
            <w:tcW w:w="720" w:type="dxa"/>
            <w:vMerge w:val="restart"/>
            <w:tcBorders>
              <w:top w:val="nil"/>
              <w:left w:val="single" w:sz="4" w:space="0" w:color="auto"/>
              <w:right w:val="single" w:sz="4" w:space="0" w:color="auto"/>
            </w:tcBorders>
            <w:shd w:val="clear" w:color="000000" w:fill="DCE6F1"/>
            <w:noWrap/>
            <w:hideMark/>
          </w:tcPr>
          <w:p w:rsidR="00CE4FCD" w:rsidRPr="00F2489D" w:rsidRDefault="00CE4FCD" w:rsidP="00171CF3">
            <w:pPr>
              <w:spacing w:after="0" w:line="240" w:lineRule="auto"/>
              <w:jc w:val="center"/>
              <w:rPr>
                <w:rFonts w:ascii="Garamond" w:hAnsi="Garamond"/>
                <w:color w:val="000000"/>
                <w:sz w:val="18"/>
                <w:szCs w:val="18"/>
              </w:rPr>
            </w:pPr>
            <w:r>
              <w:rPr>
                <w:rFonts w:ascii="Garamond" w:hAnsi="Garamond"/>
                <w:color w:val="000000"/>
                <w:sz w:val="18"/>
                <w:szCs w:val="18"/>
              </w:rPr>
              <w:t>5</w:t>
            </w:r>
          </w:p>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2562" w:type="dxa"/>
            <w:vMerge w:val="restart"/>
            <w:tcBorders>
              <w:top w:val="nil"/>
              <w:left w:val="single" w:sz="4" w:space="0" w:color="auto"/>
              <w:right w:val="single" w:sz="4" w:space="0" w:color="auto"/>
            </w:tcBorders>
            <w:shd w:val="clear" w:color="000000" w:fill="DCE6F1"/>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 xml:space="preserve"> Outcome </w:t>
            </w:r>
            <w:r>
              <w:rPr>
                <w:rFonts w:ascii="Garamond" w:hAnsi="Garamond"/>
                <w:b/>
                <w:bCs/>
                <w:color w:val="000000"/>
                <w:sz w:val="18"/>
                <w:szCs w:val="18"/>
              </w:rPr>
              <w:t>5</w:t>
            </w:r>
            <w:r w:rsidRPr="00F2489D">
              <w:rPr>
                <w:rFonts w:ascii="Garamond" w:hAnsi="Garamond"/>
                <w:b/>
                <w:bCs/>
                <w:color w:val="000000"/>
                <w:sz w:val="18"/>
                <w:szCs w:val="18"/>
              </w:rPr>
              <w:t>: Synergies and coordination enhanced, good governance surfaced, social protection and inclusiveness ensured, and capacity strengthened to effectively respond to climate change and disasters</w:t>
            </w:r>
          </w:p>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 </w:t>
            </w:r>
          </w:p>
        </w:tc>
        <w:tc>
          <w:tcPr>
            <w:tcW w:w="2183" w:type="dxa"/>
            <w:tcBorders>
              <w:top w:val="nil"/>
              <w:left w:val="nil"/>
              <w:bottom w:val="single" w:sz="4" w:space="0" w:color="auto"/>
              <w:right w:val="single" w:sz="4" w:space="0" w:color="auto"/>
            </w:tcBorders>
            <w:shd w:val="clear" w:color="000000" w:fill="DCE6F1"/>
            <w:hideMark/>
          </w:tcPr>
          <w:p w:rsidR="00CE4FCD" w:rsidRPr="00F2489D" w:rsidRDefault="00CE4FCD" w:rsidP="00171CF3">
            <w:pPr>
              <w:spacing w:after="0" w:line="240" w:lineRule="auto"/>
              <w:rPr>
                <w:rFonts w:ascii="Garamond" w:hAnsi="Garamond"/>
                <w:bCs/>
                <w:color w:val="000000"/>
                <w:sz w:val="18"/>
                <w:szCs w:val="18"/>
              </w:rPr>
            </w:pPr>
            <w:r w:rsidRPr="00F2489D">
              <w:rPr>
                <w:rFonts w:ascii="Garamond" w:hAnsi="Garamond"/>
                <w:bCs/>
                <w:color w:val="000000"/>
                <w:sz w:val="18"/>
                <w:szCs w:val="18"/>
              </w:rPr>
              <w:t xml:space="preserve">Number of institutions with improved efficiency in service delivery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97"/>
        </w:trPr>
        <w:tc>
          <w:tcPr>
            <w:tcW w:w="720" w:type="dxa"/>
            <w:vMerge/>
            <w:tcBorders>
              <w:left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left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DCE6F1"/>
            <w:hideMark/>
          </w:tcPr>
          <w:p w:rsidR="00CE4FCD" w:rsidRPr="00F2489D" w:rsidRDefault="00CE4FCD" w:rsidP="00171CF3">
            <w:pPr>
              <w:spacing w:after="0" w:line="240" w:lineRule="auto"/>
              <w:rPr>
                <w:rFonts w:ascii="Garamond" w:hAnsi="Garamond"/>
                <w:bCs/>
                <w:color w:val="000000"/>
                <w:sz w:val="18"/>
                <w:szCs w:val="18"/>
              </w:rPr>
            </w:pPr>
            <w:r w:rsidRPr="00F2489D">
              <w:rPr>
                <w:rFonts w:ascii="Garamond" w:hAnsi="Garamond"/>
                <w:bCs/>
                <w:color w:val="000000"/>
                <w:sz w:val="18"/>
                <w:szCs w:val="18"/>
              </w:rPr>
              <w:t xml:space="preserve">Country's rank in corruption </w:t>
            </w:r>
            <w:r w:rsidR="00740D2E">
              <w:rPr>
                <w:rFonts w:ascii="Garamond" w:hAnsi="Garamond"/>
                <w:bCs/>
                <w:color w:val="000000"/>
                <w:sz w:val="18"/>
                <w:szCs w:val="18"/>
              </w:rPr>
              <w:t xml:space="preserve">index </w:t>
            </w:r>
            <w:r w:rsidRPr="00F2489D">
              <w:rPr>
                <w:rFonts w:ascii="Garamond" w:hAnsi="Garamond"/>
                <w:bCs/>
                <w:color w:val="000000"/>
                <w:sz w:val="18"/>
                <w:szCs w:val="18"/>
              </w:rPr>
              <w:t xml:space="preserve">improved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22"/>
        </w:trPr>
        <w:tc>
          <w:tcPr>
            <w:tcW w:w="720" w:type="dxa"/>
            <w:vMerge/>
            <w:tcBorders>
              <w:left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left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DCE6F1"/>
            <w:hideMark/>
          </w:tcPr>
          <w:p w:rsidR="00CE4FCD" w:rsidRPr="00F2489D" w:rsidRDefault="00CE4FCD" w:rsidP="00171CF3">
            <w:pPr>
              <w:spacing w:after="0" w:line="240" w:lineRule="auto"/>
              <w:rPr>
                <w:rFonts w:ascii="Garamond" w:hAnsi="Garamond"/>
                <w:bCs/>
                <w:color w:val="000000"/>
                <w:sz w:val="18"/>
                <w:szCs w:val="18"/>
              </w:rPr>
            </w:pPr>
            <w:r w:rsidRPr="00F2489D">
              <w:rPr>
                <w:rFonts w:ascii="Garamond" w:hAnsi="Garamond"/>
                <w:bCs/>
                <w:color w:val="000000"/>
                <w:sz w:val="18"/>
                <w:szCs w:val="18"/>
              </w:rPr>
              <w:t>Extent to which M&amp;E outputs are used for decision making</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32"/>
        </w:trPr>
        <w:tc>
          <w:tcPr>
            <w:tcW w:w="720" w:type="dxa"/>
            <w:vMerge/>
            <w:tcBorders>
              <w:left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left w:val="single" w:sz="4" w:space="0" w:color="auto"/>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DCE6F1"/>
            <w:hideMark/>
          </w:tcPr>
          <w:p w:rsidR="00CE4FCD" w:rsidRPr="00F2489D" w:rsidRDefault="00CE4FCD" w:rsidP="00171CF3">
            <w:pPr>
              <w:spacing w:after="0" w:line="240" w:lineRule="auto"/>
              <w:rPr>
                <w:rFonts w:ascii="Garamond" w:hAnsi="Garamond"/>
                <w:bCs/>
                <w:color w:val="000000"/>
                <w:sz w:val="18"/>
                <w:szCs w:val="18"/>
              </w:rPr>
            </w:pPr>
            <w:r w:rsidRPr="00F2489D">
              <w:rPr>
                <w:rFonts w:ascii="Garamond" w:hAnsi="Garamond"/>
                <w:bCs/>
                <w:color w:val="000000"/>
                <w:sz w:val="18"/>
                <w:szCs w:val="18"/>
              </w:rPr>
              <w:t xml:space="preserve">Share of population covered with social security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59"/>
        </w:trPr>
        <w:tc>
          <w:tcPr>
            <w:tcW w:w="720" w:type="dxa"/>
            <w:vMerge/>
            <w:tcBorders>
              <w:left w:val="single" w:sz="4" w:space="0" w:color="auto"/>
              <w:bottom w:val="nil"/>
              <w:right w:val="single" w:sz="4" w:space="0" w:color="auto"/>
            </w:tcBorders>
            <w:shd w:val="clear" w:color="000000" w:fill="C4D79B"/>
            <w:noWrap/>
            <w:hideMark/>
          </w:tcPr>
          <w:p w:rsidR="00CE4FCD" w:rsidRPr="00F2489D" w:rsidRDefault="00CE4FCD" w:rsidP="00171CF3">
            <w:pPr>
              <w:spacing w:after="0" w:line="240" w:lineRule="auto"/>
              <w:rPr>
                <w:rFonts w:ascii="Garamond" w:hAnsi="Garamond"/>
                <w:color w:val="000000"/>
                <w:sz w:val="18"/>
                <w:szCs w:val="18"/>
              </w:rPr>
            </w:pPr>
          </w:p>
        </w:tc>
        <w:tc>
          <w:tcPr>
            <w:tcW w:w="2562" w:type="dxa"/>
            <w:vMerge/>
            <w:tcBorders>
              <w:left w:val="single" w:sz="4" w:space="0" w:color="auto"/>
              <w:bottom w:val="nil"/>
              <w:right w:val="single" w:sz="4" w:space="0" w:color="auto"/>
            </w:tcBorders>
            <w:shd w:val="clear" w:color="000000" w:fill="DCE6F1"/>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DCE6F1"/>
            <w:hideMark/>
          </w:tcPr>
          <w:p w:rsidR="00CE4FCD" w:rsidRPr="00F2489D" w:rsidRDefault="00CE4FCD" w:rsidP="00171CF3">
            <w:pPr>
              <w:spacing w:after="0" w:line="240" w:lineRule="auto"/>
              <w:rPr>
                <w:rFonts w:ascii="Garamond" w:hAnsi="Garamond"/>
                <w:bCs/>
                <w:color w:val="000000"/>
                <w:sz w:val="18"/>
                <w:szCs w:val="18"/>
              </w:rPr>
            </w:pPr>
            <w:r w:rsidRPr="00F2489D">
              <w:rPr>
                <w:rFonts w:ascii="Garamond" w:hAnsi="Garamond"/>
                <w:bCs/>
                <w:color w:val="000000"/>
                <w:sz w:val="18"/>
                <w:szCs w:val="18"/>
              </w:rPr>
              <w:t>Functional networking platforms in place</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13"/>
        </w:trPr>
        <w:tc>
          <w:tcPr>
            <w:tcW w:w="720" w:type="dxa"/>
            <w:vMerge w:val="restart"/>
            <w:tcBorders>
              <w:top w:val="single" w:sz="4" w:space="0" w:color="auto"/>
              <w:left w:val="single" w:sz="4" w:space="0" w:color="auto"/>
              <w:bottom w:val="nil"/>
              <w:right w:val="single" w:sz="4" w:space="0" w:color="auto"/>
            </w:tcBorders>
            <w:shd w:val="clear" w:color="000000" w:fill="C4D79B"/>
            <w:noWrap/>
            <w:hideMark/>
          </w:tcPr>
          <w:p w:rsidR="00CE4FCD" w:rsidRPr="00F2489D" w:rsidRDefault="00CE4FCD" w:rsidP="00034967">
            <w:pPr>
              <w:spacing w:after="0" w:line="240" w:lineRule="auto"/>
              <w:jc w:val="right"/>
              <w:rPr>
                <w:rFonts w:ascii="Garamond" w:hAnsi="Garamond"/>
                <w:b/>
                <w:bCs/>
                <w:color w:val="000000"/>
                <w:sz w:val="18"/>
                <w:szCs w:val="18"/>
              </w:rPr>
            </w:pPr>
            <w:r>
              <w:rPr>
                <w:rFonts w:ascii="Garamond" w:hAnsi="Garamond"/>
                <w:b/>
                <w:bCs/>
                <w:color w:val="000000"/>
                <w:sz w:val="18"/>
                <w:szCs w:val="18"/>
              </w:rPr>
              <w:t>5</w:t>
            </w:r>
            <w:r w:rsidRPr="00F2489D">
              <w:rPr>
                <w:rFonts w:ascii="Garamond" w:hAnsi="Garamond"/>
                <w:b/>
                <w:bCs/>
                <w:color w:val="000000"/>
                <w:sz w:val="18"/>
                <w:szCs w:val="18"/>
              </w:rPr>
              <w:t>.1</w:t>
            </w:r>
          </w:p>
        </w:tc>
        <w:tc>
          <w:tcPr>
            <w:tcW w:w="2562" w:type="dxa"/>
            <w:vMerge w:val="restart"/>
            <w:tcBorders>
              <w:top w:val="single" w:sz="4" w:space="0" w:color="auto"/>
              <w:left w:val="single" w:sz="4" w:space="0" w:color="auto"/>
              <w:bottom w:val="nil"/>
              <w:right w:val="single" w:sz="4" w:space="0" w:color="auto"/>
            </w:tcBorders>
            <w:shd w:val="clear" w:color="000000" w:fill="C4D79B"/>
            <w:hideMark/>
          </w:tcPr>
          <w:p w:rsidR="00CE4FCD" w:rsidRPr="00F2489D" w:rsidRDefault="00CE4FCD" w:rsidP="00EE01F0">
            <w:pPr>
              <w:spacing w:after="0" w:line="240" w:lineRule="auto"/>
              <w:rPr>
                <w:rFonts w:ascii="Garamond" w:hAnsi="Garamond"/>
                <w:b/>
                <w:bCs/>
                <w:color w:val="000000"/>
                <w:sz w:val="18"/>
                <w:szCs w:val="18"/>
              </w:rPr>
            </w:pPr>
            <w:r w:rsidRPr="00F2489D">
              <w:rPr>
                <w:rFonts w:ascii="Garamond" w:hAnsi="Garamond"/>
                <w:b/>
                <w:bCs/>
                <w:color w:val="000000"/>
                <w:sz w:val="18"/>
                <w:szCs w:val="18"/>
              </w:rPr>
              <w:t xml:space="preserve">Output </w:t>
            </w:r>
            <w:r>
              <w:rPr>
                <w:rFonts w:ascii="Garamond" w:hAnsi="Garamond"/>
                <w:b/>
                <w:bCs/>
                <w:color w:val="000000"/>
                <w:sz w:val="18"/>
                <w:szCs w:val="18"/>
              </w:rPr>
              <w:t>5</w:t>
            </w:r>
            <w:r w:rsidRPr="00F2489D">
              <w:rPr>
                <w:rFonts w:ascii="Garamond" w:hAnsi="Garamond"/>
                <w:b/>
                <w:bCs/>
                <w:color w:val="000000"/>
                <w:sz w:val="18"/>
                <w:szCs w:val="18"/>
              </w:rPr>
              <w:t xml:space="preserve">.1: Enhanced capacity </w:t>
            </w:r>
            <w:r w:rsidR="00EE01F0">
              <w:rPr>
                <w:rFonts w:ascii="Garamond" w:hAnsi="Garamond"/>
                <w:b/>
                <w:bCs/>
                <w:color w:val="000000"/>
                <w:sz w:val="18"/>
                <w:szCs w:val="18"/>
              </w:rPr>
              <w:t xml:space="preserve">in </w:t>
            </w:r>
            <w:r w:rsidRPr="00F2489D">
              <w:rPr>
                <w:rFonts w:ascii="Garamond" w:hAnsi="Garamond"/>
                <w:b/>
                <w:bCs/>
                <w:color w:val="000000"/>
                <w:sz w:val="18"/>
                <w:szCs w:val="18"/>
              </w:rPr>
              <w:t xml:space="preserve">M&amp;E system, networking, and comprehensive management information system </w:t>
            </w:r>
          </w:p>
        </w:tc>
        <w:tc>
          <w:tcPr>
            <w:tcW w:w="2183" w:type="dxa"/>
            <w:tcBorders>
              <w:top w:val="nil"/>
              <w:left w:val="nil"/>
              <w:bottom w:val="single" w:sz="4" w:space="0" w:color="auto"/>
              <w:right w:val="single" w:sz="4" w:space="0" w:color="auto"/>
            </w:tcBorders>
            <w:shd w:val="clear" w:color="000000" w:fill="C4D79B"/>
            <w:vAlign w:val="center"/>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National M&amp;E policy developed and ratified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40"/>
        </w:trPr>
        <w:tc>
          <w:tcPr>
            <w:tcW w:w="720" w:type="dxa"/>
            <w:vMerge/>
            <w:tcBorders>
              <w:top w:val="single" w:sz="4" w:space="0" w:color="auto"/>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single" w:sz="4" w:space="0" w:color="auto"/>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vAlign w:val="center"/>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Number of government institutions having a functional M&amp;E units</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60"/>
        </w:trPr>
        <w:tc>
          <w:tcPr>
            <w:tcW w:w="720" w:type="dxa"/>
            <w:vMerge/>
            <w:tcBorders>
              <w:top w:val="single" w:sz="4" w:space="0" w:color="auto"/>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single" w:sz="4" w:space="0" w:color="auto"/>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vAlign w:val="center"/>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Management information system (MIS) for online data sharing and networking established</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6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2562" w:type="dxa"/>
            <w:tcBorders>
              <w:top w:val="single" w:sz="4" w:space="0" w:color="auto"/>
              <w:left w:val="nil"/>
              <w:bottom w:val="single" w:sz="4" w:space="0" w:color="auto"/>
              <w:right w:val="single" w:sz="4" w:space="0" w:color="auto"/>
            </w:tcBorders>
            <w:shd w:val="clear" w:color="auto" w:fill="auto"/>
            <w:noWrap/>
            <w:vAlign w:val="center"/>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Key interventions: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B050"/>
                <w:sz w:val="18"/>
                <w:szCs w:val="18"/>
              </w:rPr>
            </w:pPr>
          </w:p>
        </w:tc>
      </w:tr>
      <w:tr w:rsidR="00CE4FCD" w:rsidRPr="00F2489D" w:rsidTr="00441C11">
        <w:trPr>
          <w:trHeight w:val="1296"/>
        </w:trPr>
        <w:tc>
          <w:tcPr>
            <w:tcW w:w="720" w:type="dxa"/>
            <w:tcBorders>
              <w:top w:val="nil"/>
              <w:left w:val="single" w:sz="4" w:space="0" w:color="auto"/>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Pr>
                <w:rFonts w:ascii="Garamond" w:hAnsi="Garamond"/>
                <w:color w:val="000000"/>
                <w:sz w:val="18"/>
                <w:szCs w:val="18"/>
              </w:rPr>
              <w:t>5</w:t>
            </w:r>
            <w:r w:rsidRPr="00F2489D">
              <w:rPr>
                <w:rFonts w:ascii="Garamond" w:hAnsi="Garamond"/>
                <w:color w:val="000000"/>
                <w:sz w:val="18"/>
                <w:szCs w:val="18"/>
              </w:rPr>
              <w:t>.1.1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Develop and strengthen a robust monitoring and evaluation (M&amp;E) system at all levels  through establishing a functional M&amp;E unit and developing monitoring and evaluation policy and guidelines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NPC, Sector ministries,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133"/>
        </w:trPr>
        <w:tc>
          <w:tcPr>
            <w:tcW w:w="720" w:type="dxa"/>
            <w:tcBorders>
              <w:top w:val="nil"/>
              <w:left w:val="single" w:sz="4" w:space="0" w:color="auto"/>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Pr>
                <w:rFonts w:ascii="Garamond" w:hAnsi="Garamond"/>
                <w:color w:val="000000"/>
                <w:sz w:val="18"/>
                <w:szCs w:val="18"/>
              </w:rPr>
              <w:t>5</w:t>
            </w:r>
            <w:r w:rsidRPr="00F2489D">
              <w:rPr>
                <w:rFonts w:ascii="Garamond" w:hAnsi="Garamond"/>
                <w:color w:val="000000"/>
                <w:sz w:val="18"/>
                <w:szCs w:val="18"/>
              </w:rPr>
              <w:t>.1.2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Boost enforcement capacity through appropriate infrastructure and enhance networking and coordination with relevant institutions, and develop a comprehensive management information system</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NPC,  PMO, sector ministries,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84"/>
        </w:trPr>
        <w:tc>
          <w:tcPr>
            <w:tcW w:w="720" w:type="dxa"/>
            <w:tcBorders>
              <w:top w:val="nil"/>
              <w:left w:val="single" w:sz="4" w:space="0" w:color="auto"/>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Pr>
                <w:rFonts w:ascii="Garamond" w:hAnsi="Garamond"/>
                <w:color w:val="000000"/>
                <w:sz w:val="18"/>
                <w:szCs w:val="18"/>
              </w:rPr>
              <w:t>5</w:t>
            </w:r>
            <w:r w:rsidRPr="00F2489D">
              <w:rPr>
                <w:rFonts w:ascii="Garamond" w:hAnsi="Garamond"/>
                <w:color w:val="000000"/>
                <w:sz w:val="18"/>
                <w:szCs w:val="18"/>
              </w:rPr>
              <w:t>.1.3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Strengthen institutional capacity to improve and enforce transparency and accountability at all levels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NPC,  PMO, sector ministries &amp;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72"/>
        </w:trPr>
        <w:tc>
          <w:tcPr>
            <w:tcW w:w="720" w:type="dxa"/>
            <w:vMerge w:val="restart"/>
            <w:tcBorders>
              <w:top w:val="nil"/>
              <w:left w:val="single" w:sz="4" w:space="0" w:color="auto"/>
              <w:bottom w:val="nil"/>
              <w:right w:val="single" w:sz="4" w:space="0" w:color="auto"/>
            </w:tcBorders>
            <w:shd w:val="clear" w:color="000000" w:fill="C4D79B"/>
            <w:noWrap/>
            <w:hideMark/>
          </w:tcPr>
          <w:p w:rsidR="00CE4FCD" w:rsidRPr="00F2489D" w:rsidRDefault="00CE4FCD" w:rsidP="00171CF3">
            <w:pPr>
              <w:spacing w:after="0" w:line="240" w:lineRule="auto"/>
              <w:jc w:val="right"/>
              <w:rPr>
                <w:rFonts w:ascii="Garamond" w:hAnsi="Garamond"/>
                <w:b/>
                <w:bCs/>
                <w:color w:val="000000"/>
                <w:sz w:val="18"/>
                <w:szCs w:val="18"/>
              </w:rPr>
            </w:pPr>
            <w:r>
              <w:rPr>
                <w:rFonts w:ascii="Garamond" w:hAnsi="Garamond"/>
                <w:b/>
                <w:bCs/>
                <w:color w:val="000000"/>
                <w:sz w:val="18"/>
                <w:szCs w:val="18"/>
              </w:rPr>
              <w:t>5</w:t>
            </w:r>
            <w:r w:rsidRPr="00F2489D">
              <w:rPr>
                <w:rFonts w:ascii="Garamond" w:hAnsi="Garamond"/>
                <w:b/>
                <w:bCs/>
                <w:color w:val="000000"/>
                <w:sz w:val="18"/>
                <w:szCs w:val="18"/>
              </w:rPr>
              <w:t>.2</w:t>
            </w:r>
          </w:p>
        </w:tc>
        <w:tc>
          <w:tcPr>
            <w:tcW w:w="2562" w:type="dxa"/>
            <w:vMerge w:val="restart"/>
            <w:tcBorders>
              <w:top w:val="nil"/>
              <w:left w:val="single" w:sz="4" w:space="0" w:color="auto"/>
              <w:bottom w:val="nil"/>
              <w:right w:val="single" w:sz="4" w:space="0" w:color="auto"/>
            </w:tcBorders>
            <w:shd w:val="clear" w:color="000000" w:fill="C4D79B"/>
            <w:hideMark/>
          </w:tcPr>
          <w:p w:rsidR="00CE4FCD" w:rsidRPr="00F2489D" w:rsidRDefault="00CE4FCD" w:rsidP="00034967">
            <w:pPr>
              <w:spacing w:after="0" w:line="240" w:lineRule="auto"/>
              <w:jc w:val="both"/>
              <w:rPr>
                <w:rFonts w:ascii="Garamond" w:hAnsi="Garamond"/>
                <w:b/>
                <w:bCs/>
                <w:color w:val="000000"/>
                <w:sz w:val="18"/>
                <w:szCs w:val="18"/>
              </w:rPr>
            </w:pPr>
            <w:r w:rsidRPr="00F2489D">
              <w:rPr>
                <w:rFonts w:ascii="Garamond" w:hAnsi="Garamond"/>
                <w:b/>
                <w:bCs/>
                <w:color w:val="000000"/>
                <w:sz w:val="18"/>
                <w:szCs w:val="18"/>
              </w:rPr>
              <w:t xml:space="preserve">Output </w:t>
            </w:r>
            <w:r>
              <w:rPr>
                <w:rFonts w:ascii="Garamond" w:hAnsi="Garamond"/>
                <w:b/>
                <w:bCs/>
                <w:color w:val="000000"/>
                <w:sz w:val="18"/>
                <w:szCs w:val="18"/>
              </w:rPr>
              <w:t>5</w:t>
            </w:r>
            <w:r w:rsidRPr="00F2489D">
              <w:rPr>
                <w:rFonts w:ascii="Garamond" w:hAnsi="Garamond"/>
                <w:b/>
                <w:bCs/>
                <w:color w:val="000000"/>
                <w:sz w:val="18"/>
                <w:szCs w:val="18"/>
              </w:rPr>
              <w:t>.2: Inter-sectoral and development partners coordination mechanisms enhanced</w:t>
            </w:r>
            <w:r w:rsidRPr="00F2489D">
              <w:rPr>
                <w:rFonts w:ascii="Garamond" w:hAnsi="Garamond"/>
                <w:b/>
                <w:bCs/>
                <w:color w:val="00B050"/>
                <w:sz w:val="18"/>
                <w:szCs w:val="18"/>
              </w:rPr>
              <w:t xml:space="preserve"> </w:t>
            </w:r>
          </w:p>
        </w:tc>
        <w:tc>
          <w:tcPr>
            <w:tcW w:w="2183" w:type="dxa"/>
            <w:tcBorders>
              <w:top w:val="nil"/>
              <w:left w:val="nil"/>
              <w:bottom w:val="single" w:sz="4" w:space="0" w:color="auto"/>
              <w:right w:val="single" w:sz="4" w:space="0" w:color="auto"/>
            </w:tcBorders>
            <w:shd w:val="clear" w:color="000000" w:fill="C4D79B"/>
            <w:vAlign w:val="center"/>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 xml:space="preserve">Cross-sectoral coordination platform established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72"/>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vAlign w:val="center"/>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 xml:space="preserve">Joint planning, implementation and review enhanced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24"/>
        </w:trPr>
        <w:tc>
          <w:tcPr>
            <w:tcW w:w="720"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nil"/>
              <w:right w:val="single" w:sz="4" w:space="0" w:color="auto"/>
            </w:tcBorders>
            <w:vAlign w:val="center"/>
            <w:hideMark/>
          </w:tcPr>
          <w:p w:rsidR="00CE4FCD" w:rsidRPr="00F2489D" w:rsidRDefault="00CE4FCD" w:rsidP="00171CF3">
            <w:pPr>
              <w:spacing w:after="0" w:line="240" w:lineRule="auto"/>
              <w:rPr>
                <w:rFonts w:ascii="Garamond" w:hAnsi="Garamond"/>
                <w:b/>
                <w:bCs/>
                <w:color w:val="000000"/>
                <w:sz w:val="18"/>
                <w:szCs w:val="18"/>
              </w:rPr>
            </w:pPr>
          </w:p>
        </w:tc>
        <w:tc>
          <w:tcPr>
            <w:tcW w:w="2183" w:type="dxa"/>
            <w:tcBorders>
              <w:top w:val="nil"/>
              <w:left w:val="nil"/>
              <w:bottom w:val="single" w:sz="4" w:space="0" w:color="auto"/>
              <w:right w:val="single" w:sz="4" w:space="0" w:color="auto"/>
            </w:tcBorders>
            <w:shd w:val="clear" w:color="000000" w:fill="C4D79B"/>
            <w:vAlign w:val="center"/>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 xml:space="preserve">Cross-sectoral information sharing improved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tcBorders>
              <w:top w:val="single" w:sz="4" w:space="0" w:color="auto"/>
              <w:left w:val="single" w:sz="4" w:space="0" w:color="auto"/>
              <w:bottom w:val="nil"/>
              <w:right w:val="single" w:sz="4" w:space="0" w:color="auto"/>
            </w:tcBorders>
            <w:shd w:val="clear" w:color="000000" w:fill="C4D79B"/>
            <w:noWrap/>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 </w:t>
            </w:r>
          </w:p>
        </w:tc>
        <w:tc>
          <w:tcPr>
            <w:tcW w:w="2562" w:type="dxa"/>
            <w:tcBorders>
              <w:top w:val="single" w:sz="4" w:space="0" w:color="auto"/>
              <w:left w:val="nil"/>
              <w:bottom w:val="nil"/>
              <w:right w:val="single" w:sz="4" w:space="0" w:color="auto"/>
            </w:tcBorders>
            <w:shd w:val="clear" w:color="000000" w:fill="C4D79B"/>
            <w:noWrap/>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 </w:t>
            </w:r>
          </w:p>
        </w:tc>
        <w:tc>
          <w:tcPr>
            <w:tcW w:w="2183" w:type="dxa"/>
            <w:tcBorders>
              <w:top w:val="nil"/>
              <w:left w:val="nil"/>
              <w:bottom w:val="single" w:sz="4" w:space="0" w:color="auto"/>
              <w:right w:val="single" w:sz="4" w:space="0" w:color="auto"/>
            </w:tcBorders>
            <w:shd w:val="clear" w:color="000000" w:fill="C4D79B"/>
            <w:vAlign w:val="center"/>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 xml:space="preserve">Data quality and timeliness improved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2562" w:type="dxa"/>
            <w:tcBorders>
              <w:top w:val="single" w:sz="4" w:space="0" w:color="auto"/>
              <w:left w:val="nil"/>
              <w:bottom w:val="single" w:sz="4" w:space="0" w:color="auto"/>
              <w:right w:val="single" w:sz="4" w:space="0" w:color="auto"/>
            </w:tcBorders>
            <w:shd w:val="clear" w:color="auto" w:fill="auto"/>
            <w:noWrap/>
            <w:vAlign w:val="center"/>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Key Interventions: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953"/>
        </w:trPr>
        <w:tc>
          <w:tcPr>
            <w:tcW w:w="720" w:type="dxa"/>
            <w:tcBorders>
              <w:top w:val="nil"/>
              <w:left w:val="single" w:sz="4" w:space="0" w:color="auto"/>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Pr>
                <w:rFonts w:ascii="Garamond" w:hAnsi="Garamond"/>
                <w:color w:val="000000"/>
                <w:sz w:val="18"/>
                <w:szCs w:val="18"/>
              </w:rPr>
              <w:lastRenderedPageBreak/>
              <w:t>5</w:t>
            </w:r>
            <w:r w:rsidRPr="00F2489D">
              <w:rPr>
                <w:rFonts w:ascii="Garamond" w:hAnsi="Garamond"/>
                <w:color w:val="000000"/>
                <w:sz w:val="18"/>
                <w:szCs w:val="18"/>
              </w:rPr>
              <w:t>.2.1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Strengthen sectoral working groups and establish inter-sector coordination platform to provide guidance on effective planning, implementation, monitoring, evaluation and reporting</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12"/>
        </w:trPr>
        <w:tc>
          <w:tcPr>
            <w:tcW w:w="720" w:type="dxa"/>
            <w:tcBorders>
              <w:top w:val="nil"/>
              <w:left w:val="single" w:sz="4" w:space="0" w:color="auto"/>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Pr>
                <w:rFonts w:ascii="Garamond" w:hAnsi="Garamond"/>
                <w:color w:val="000000"/>
                <w:sz w:val="18"/>
                <w:szCs w:val="18"/>
              </w:rPr>
              <w:t>5</w:t>
            </w:r>
            <w:r w:rsidRPr="00F2489D">
              <w:rPr>
                <w:rFonts w:ascii="Garamond" w:hAnsi="Garamond"/>
                <w:color w:val="000000"/>
                <w:sz w:val="18"/>
                <w:szCs w:val="18"/>
              </w:rPr>
              <w:t>.2.2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 xml:space="preserve"> Strengthen statistical capacity building and improve the quality and timeliness of statistical data</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NPC, CSA, Sector ministries,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764"/>
        </w:trPr>
        <w:tc>
          <w:tcPr>
            <w:tcW w:w="720" w:type="dxa"/>
            <w:tcBorders>
              <w:top w:val="nil"/>
              <w:left w:val="single" w:sz="4" w:space="0" w:color="auto"/>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Pr>
                <w:rFonts w:ascii="Garamond" w:hAnsi="Garamond"/>
                <w:color w:val="000000"/>
                <w:sz w:val="18"/>
                <w:szCs w:val="18"/>
              </w:rPr>
              <w:t>5</w:t>
            </w:r>
            <w:r w:rsidRPr="00F2489D">
              <w:rPr>
                <w:rFonts w:ascii="Garamond" w:hAnsi="Garamond"/>
                <w:color w:val="000000"/>
                <w:sz w:val="18"/>
                <w:szCs w:val="18"/>
              </w:rPr>
              <w:t>.2.3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B050"/>
                <w:sz w:val="18"/>
                <w:szCs w:val="18"/>
              </w:rPr>
            </w:pPr>
            <w:r w:rsidRPr="00F2489D">
              <w:rPr>
                <w:rFonts w:ascii="Garamond" w:hAnsi="Garamond"/>
                <w:color w:val="000000"/>
                <w:sz w:val="18"/>
                <w:szCs w:val="18"/>
              </w:rPr>
              <w:t>Expand sectoral working groups to include other relevant stakeholders such as foundations and CSOs (representatives)</w:t>
            </w:r>
            <w:r w:rsidRPr="00F2489D">
              <w:rPr>
                <w:rFonts w:ascii="Garamond" w:hAnsi="Garamond"/>
                <w:color w:val="00B050"/>
                <w:sz w:val="18"/>
                <w:szCs w:val="18"/>
              </w:rPr>
              <w:t xml:space="preserve"> </w:t>
            </w:r>
          </w:p>
        </w:tc>
        <w:tc>
          <w:tcPr>
            <w:tcW w:w="2183" w:type="dxa"/>
            <w:tcBorders>
              <w:top w:val="nil"/>
              <w:left w:val="nil"/>
              <w:bottom w:val="nil"/>
              <w:right w:val="nil"/>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p>
        </w:tc>
        <w:tc>
          <w:tcPr>
            <w:tcW w:w="630" w:type="dxa"/>
            <w:tcBorders>
              <w:top w:val="nil"/>
              <w:left w:val="single" w:sz="4" w:space="0" w:color="auto"/>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MoFEC, </w:t>
            </w:r>
            <w:r>
              <w:rPr>
                <w:rFonts w:ascii="Garamond" w:hAnsi="Garamond"/>
                <w:color w:val="000000"/>
                <w:sz w:val="18"/>
                <w:szCs w:val="18"/>
              </w:rPr>
              <w:t xml:space="preserve">DPs, </w:t>
            </w:r>
            <w:r w:rsidRPr="00F2489D">
              <w:rPr>
                <w:rFonts w:ascii="Garamond" w:hAnsi="Garamond"/>
                <w:color w:val="000000"/>
                <w:sz w:val="18"/>
                <w:szCs w:val="18"/>
              </w:rPr>
              <w:t>Sector ministries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80"/>
        </w:trPr>
        <w:tc>
          <w:tcPr>
            <w:tcW w:w="720" w:type="dxa"/>
            <w:tcBorders>
              <w:top w:val="nil"/>
              <w:left w:val="single" w:sz="4" w:space="0" w:color="auto"/>
              <w:bottom w:val="nil"/>
              <w:right w:val="single" w:sz="4" w:space="0" w:color="auto"/>
            </w:tcBorders>
            <w:shd w:val="clear" w:color="000000" w:fill="C4D79B"/>
            <w:noWrap/>
            <w:hideMark/>
          </w:tcPr>
          <w:p w:rsidR="00CE4FCD" w:rsidRPr="00F2489D" w:rsidRDefault="00CE4FCD" w:rsidP="00034967">
            <w:pPr>
              <w:spacing w:after="0" w:line="240" w:lineRule="auto"/>
              <w:jc w:val="right"/>
              <w:rPr>
                <w:rFonts w:ascii="Garamond" w:hAnsi="Garamond"/>
                <w:b/>
                <w:bCs/>
                <w:color w:val="000000"/>
                <w:sz w:val="18"/>
                <w:szCs w:val="18"/>
              </w:rPr>
            </w:pPr>
            <w:r>
              <w:rPr>
                <w:rFonts w:ascii="Garamond" w:hAnsi="Garamond"/>
                <w:b/>
                <w:bCs/>
                <w:color w:val="000000"/>
                <w:sz w:val="18"/>
                <w:szCs w:val="18"/>
              </w:rPr>
              <w:t>5</w:t>
            </w:r>
            <w:r w:rsidRPr="00F2489D">
              <w:rPr>
                <w:rFonts w:ascii="Garamond" w:hAnsi="Garamond"/>
                <w:b/>
                <w:bCs/>
                <w:color w:val="000000"/>
                <w:sz w:val="18"/>
                <w:szCs w:val="18"/>
              </w:rPr>
              <w:t>.3</w:t>
            </w:r>
          </w:p>
        </w:tc>
        <w:tc>
          <w:tcPr>
            <w:tcW w:w="2562" w:type="dxa"/>
            <w:vMerge w:val="restart"/>
            <w:tcBorders>
              <w:top w:val="nil"/>
              <w:left w:val="single" w:sz="4" w:space="0" w:color="auto"/>
              <w:bottom w:val="single" w:sz="4" w:space="0" w:color="000000"/>
              <w:right w:val="single" w:sz="4" w:space="0" w:color="auto"/>
            </w:tcBorders>
            <w:shd w:val="clear" w:color="000000" w:fill="C4D79B"/>
            <w:hideMark/>
          </w:tcPr>
          <w:p w:rsidR="00CE4FCD" w:rsidRPr="00F2489D" w:rsidRDefault="00CE4FCD" w:rsidP="00034967">
            <w:pPr>
              <w:spacing w:after="0" w:line="240" w:lineRule="auto"/>
              <w:rPr>
                <w:rFonts w:ascii="Garamond" w:hAnsi="Garamond"/>
                <w:b/>
                <w:bCs/>
                <w:color w:val="00B050"/>
                <w:sz w:val="18"/>
                <w:szCs w:val="18"/>
              </w:rPr>
            </w:pPr>
            <w:r w:rsidRPr="00F2489D">
              <w:rPr>
                <w:rFonts w:ascii="Garamond" w:hAnsi="Garamond"/>
                <w:b/>
                <w:bCs/>
                <w:color w:val="000000"/>
                <w:sz w:val="18"/>
                <w:szCs w:val="18"/>
              </w:rPr>
              <w:t xml:space="preserve">Output </w:t>
            </w:r>
            <w:r>
              <w:rPr>
                <w:rFonts w:ascii="Garamond" w:hAnsi="Garamond"/>
                <w:b/>
                <w:bCs/>
                <w:color w:val="000000"/>
                <w:sz w:val="18"/>
                <w:szCs w:val="18"/>
              </w:rPr>
              <w:t>5</w:t>
            </w:r>
            <w:r w:rsidRPr="00F2489D">
              <w:rPr>
                <w:rFonts w:ascii="Garamond" w:hAnsi="Garamond"/>
                <w:b/>
                <w:bCs/>
                <w:color w:val="000000"/>
                <w:sz w:val="18"/>
                <w:szCs w:val="18"/>
              </w:rPr>
              <w:t xml:space="preserve">.3: National </w:t>
            </w:r>
            <w:r>
              <w:rPr>
                <w:rFonts w:ascii="Garamond" w:hAnsi="Garamond"/>
                <w:b/>
                <w:bCs/>
                <w:color w:val="000000"/>
                <w:sz w:val="18"/>
                <w:szCs w:val="18"/>
              </w:rPr>
              <w:t xml:space="preserve">climate related finance information improved and </w:t>
            </w:r>
            <w:r w:rsidRPr="00F2489D">
              <w:rPr>
                <w:rFonts w:ascii="Garamond" w:hAnsi="Garamond"/>
                <w:b/>
                <w:bCs/>
                <w:color w:val="000000"/>
                <w:sz w:val="18"/>
                <w:szCs w:val="18"/>
              </w:rPr>
              <w:t>capacit</w:t>
            </w:r>
            <w:r>
              <w:rPr>
                <w:rFonts w:ascii="Garamond" w:hAnsi="Garamond"/>
                <w:b/>
                <w:bCs/>
                <w:color w:val="000000"/>
                <w:sz w:val="18"/>
                <w:szCs w:val="18"/>
              </w:rPr>
              <w:t>y</w:t>
            </w:r>
            <w:r w:rsidRPr="00F2489D">
              <w:rPr>
                <w:rFonts w:ascii="Garamond" w:hAnsi="Garamond"/>
                <w:b/>
                <w:bCs/>
                <w:color w:val="000000"/>
                <w:sz w:val="18"/>
                <w:szCs w:val="18"/>
              </w:rPr>
              <w:t xml:space="preserve"> to </w:t>
            </w:r>
            <w:r>
              <w:rPr>
                <w:rFonts w:ascii="Garamond" w:hAnsi="Garamond"/>
                <w:b/>
                <w:bCs/>
                <w:color w:val="000000"/>
                <w:sz w:val="18"/>
                <w:szCs w:val="18"/>
              </w:rPr>
              <w:t xml:space="preserve">access climate finance </w:t>
            </w:r>
            <w:r w:rsidRPr="00F2489D">
              <w:rPr>
                <w:rFonts w:ascii="Garamond" w:hAnsi="Garamond"/>
                <w:b/>
                <w:bCs/>
                <w:color w:val="000000"/>
                <w:sz w:val="18"/>
                <w:szCs w:val="18"/>
              </w:rPr>
              <w:t>enhanced</w:t>
            </w:r>
            <w:r w:rsidRPr="00F2489D">
              <w:rPr>
                <w:rFonts w:ascii="Garamond" w:hAnsi="Garamond"/>
                <w:b/>
                <w:bCs/>
                <w:color w:val="00B050"/>
                <w:sz w:val="18"/>
                <w:szCs w:val="18"/>
              </w:rPr>
              <w:t xml:space="preserve"> </w:t>
            </w:r>
          </w:p>
        </w:tc>
        <w:tc>
          <w:tcPr>
            <w:tcW w:w="2183"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rsidR="00CE4FCD" w:rsidRPr="00F2489D" w:rsidRDefault="00CE4FCD" w:rsidP="00216406">
            <w:pPr>
              <w:spacing w:after="0" w:line="240" w:lineRule="auto"/>
              <w:rPr>
                <w:rFonts w:ascii="Garamond" w:hAnsi="Garamond"/>
                <w:color w:val="000000"/>
                <w:sz w:val="18"/>
                <w:szCs w:val="18"/>
              </w:rPr>
            </w:pPr>
            <w:r w:rsidRPr="00F2489D">
              <w:rPr>
                <w:rFonts w:ascii="Garamond" w:hAnsi="Garamond"/>
                <w:color w:val="000000"/>
                <w:sz w:val="18"/>
                <w:szCs w:val="18"/>
              </w:rPr>
              <w:t>CRGE-related investment</w:t>
            </w:r>
            <w:r>
              <w:rPr>
                <w:rFonts w:ascii="Garamond" w:hAnsi="Garamond"/>
                <w:color w:val="000000"/>
                <w:sz w:val="18"/>
                <w:szCs w:val="18"/>
              </w:rPr>
              <w:t xml:space="preserve"> </w:t>
            </w:r>
            <w:r w:rsidRPr="00F2489D">
              <w:rPr>
                <w:rFonts w:ascii="Garamond" w:hAnsi="Garamond"/>
                <w:color w:val="000000"/>
                <w:sz w:val="18"/>
                <w:szCs w:val="18"/>
              </w:rPr>
              <w:t xml:space="preserve">needs identified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68"/>
        </w:trPr>
        <w:tc>
          <w:tcPr>
            <w:tcW w:w="720" w:type="dxa"/>
            <w:tcBorders>
              <w:top w:val="nil"/>
              <w:left w:val="single" w:sz="4" w:space="0" w:color="auto"/>
              <w:bottom w:val="nil"/>
              <w:right w:val="single" w:sz="4" w:space="0" w:color="auto"/>
            </w:tcBorders>
            <w:shd w:val="clear" w:color="auto" w:fill="auto"/>
            <w:noWrap/>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 </w:t>
            </w: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B050"/>
                <w:sz w:val="18"/>
                <w:szCs w:val="18"/>
              </w:rPr>
            </w:pPr>
          </w:p>
        </w:tc>
        <w:tc>
          <w:tcPr>
            <w:tcW w:w="2183" w:type="dxa"/>
            <w:tcBorders>
              <w:top w:val="nil"/>
              <w:left w:val="nil"/>
              <w:bottom w:val="single" w:sz="4" w:space="0" w:color="auto"/>
              <w:right w:val="single" w:sz="4" w:space="0" w:color="auto"/>
            </w:tcBorders>
            <w:shd w:val="clear" w:color="auto" w:fill="C5E0B3" w:themeFill="accent6" w:themeFillTint="66"/>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Climate finance tracking tools developed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68"/>
        </w:trPr>
        <w:tc>
          <w:tcPr>
            <w:tcW w:w="720" w:type="dxa"/>
            <w:tcBorders>
              <w:top w:val="nil"/>
              <w:left w:val="single" w:sz="4" w:space="0" w:color="auto"/>
              <w:bottom w:val="nil"/>
              <w:right w:val="single" w:sz="4" w:space="0" w:color="auto"/>
            </w:tcBorders>
            <w:shd w:val="clear" w:color="auto" w:fill="auto"/>
            <w:noWrap/>
          </w:tcPr>
          <w:p w:rsidR="00CE4FCD" w:rsidRPr="00F2489D" w:rsidRDefault="00CE4FCD" w:rsidP="00171CF3">
            <w:pPr>
              <w:spacing w:after="0" w:line="240" w:lineRule="auto"/>
              <w:rPr>
                <w:rFonts w:ascii="Garamond" w:hAnsi="Garamond"/>
                <w:b/>
                <w:bCs/>
                <w:color w:val="000000"/>
                <w:sz w:val="18"/>
                <w:szCs w:val="18"/>
              </w:rPr>
            </w:pPr>
          </w:p>
        </w:tc>
        <w:tc>
          <w:tcPr>
            <w:tcW w:w="2562" w:type="dxa"/>
            <w:vMerge/>
            <w:tcBorders>
              <w:top w:val="nil"/>
              <w:left w:val="single" w:sz="4" w:space="0" w:color="auto"/>
              <w:bottom w:val="single" w:sz="4" w:space="0" w:color="000000"/>
              <w:right w:val="single" w:sz="4" w:space="0" w:color="auto"/>
            </w:tcBorders>
            <w:vAlign w:val="center"/>
          </w:tcPr>
          <w:p w:rsidR="00CE4FCD" w:rsidRPr="00F2489D" w:rsidRDefault="00CE4FCD" w:rsidP="00171CF3">
            <w:pPr>
              <w:spacing w:after="0" w:line="240" w:lineRule="auto"/>
              <w:rPr>
                <w:rFonts w:ascii="Garamond" w:hAnsi="Garamond"/>
                <w:b/>
                <w:bCs/>
                <w:color w:val="00B050"/>
                <w:sz w:val="18"/>
                <w:szCs w:val="18"/>
              </w:rPr>
            </w:pPr>
          </w:p>
        </w:tc>
        <w:tc>
          <w:tcPr>
            <w:tcW w:w="2183" w:type="dxa"/>
            <w:tcBorders>
              <w:top w:val="nil"/>
              <w:left w:val="nil"/>
              <w:bottom w:val="single" w:sz="4" w:space="0" w:color="auto"/>
              <w:right w:val="single" w:sz="4" w:space="0" w:color="auto"/>
            </w:tcBorders>
            <w:shd w:val="clear" w:color="auto" w:fill="C5E0B3" w:themeFill="accent6" w:themeFillTint="66"/>
            <w:noWrap/>
            <w:vAlign w:val="bottom"/>
          </w:tcPr>
          <w:p w:rsidR="00CE4FCD" w:rsidRPr="00F2489D" w:rsidRDefault="00CE4FCD" w:rsidP="00171CF3">
            <w:pPr>
              <w:spacing w:after="0" w:line="240" w:lineRule="auto"/>
              <w:rPr>
                <w:rFonts w:ascii="Garamond" w:hAnsi="Garamond"/>
                <w:color w:val="000000"/>
                <w:sz w:val="18"/>
                <w:szCs w:val="18"/>
              </w:rPr>
            </w:pPr>
            <w:r>
              <w:rPr>
                <w:rFonts w:ascii="Garamond" w:hAnsi="Garamond"/>
                <w:color w:val="000000"/>
                <w:sz w:val="18"/>
                <w:szCs w:val="18"/>
              </w:rPr>
              <w:t xml:space="preserve">Number of climate-related projects approved for funding </w:t>
            </w: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B05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B05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B050"/>
                <w:sz w:val="18"/>
                <w:szCs w:val="18"/>
              </w:rPr>
            </w:pPr>
          </w:p>
        </w:tc>
        <w:tc>
          <w:tcPr>
            <w:tcW w:w="576"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B050"/>
                <w:sz w:val="18"/>
                <w:szCs w:val="18"/>
              </w:rPr>
            </w:pPr>
          </w:p>
        </w:tc>
        <w:tc>
          <w:tcPr>
            <w:tcW w:w="1710" w:type="dxa"/>
            <w:tcBorders>
              <w:top w:val="nil"/>
              <w:left w:val="nil"/>
              <w:bottom w:val="single" w:sz="4" w:space="0" w:color="auto"/>
              <w:right w:val="single" w:sz="4" w:space="0" w:color="auto"/>
            </w:tcBorders>
            <w:shd w:val="clear" w:color="auto" w:fill="auto"/>
            <w:vAlign w:val="bottom"/>
          </w:tcPr>
          <w:p w:rsidR="00CE4FCD" w:rsidRPr="00F2489D" w:rsidRDefault="00CE4FCD" w:rsidP="00171CF3">
            <w:pPr>
              <w:spacing w:after="0" w:line="240" w:lineRule="auto"/>
              <w:rPr>
                <w:rFonts w:ascii="Garamond" w:hAnsi="Garamond"/>
                <w:color w:val="000000"/>
                <w:sz w:val="18"/>
                <w:szCs w:val="18"/>
              </w:rPr>
            </w:pP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08"/>
        </w:trPr>
        <w:tc>
          <w:tcPr>
            <w:tcW w:w="720" w:type="dxa"/>
            <w:tcBorders>
              <w:top w:val="nil"/>
              <w:left w:val="single" w:sz="4" w:space="0" w:color="auto"/>
              <w:bottom w:val="nil"/>
              <w:right w:val="single" w:sz="4" w:space="0" w:color="auto"/>
            </w:tcBorders>
            <w:shd w:val="clear" w:color="auto" w:fill="auto"/>
            <w:noWrap/>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 </w:t>
            </w: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B050"/>
                <w:sz w:val="18"/>
                <w:szCs w:val="18"/>
              </w:rPr>
            </w:pPr>
          </w:p>
        </w:tc>
        <w:tc>
          <w:tcPr>
            <w:tcW w:w="2183" w:type="dxa"/>
            <w:tcBorders>
              <w:top w:val="nil"/>
              <w:left w:val="nil"/>
              <w:bottom w:val="single" w:sz="4" w:space="0" w:color="auto"/>
              <w:right w:val="single" w:sz="4" w:space="0" w:color="auto"/>
            </w:tcBorders>
            <w:shd w:val="clear" w:color="auto" w:fill="C5E0B3" w:themeFill="accent6" w:themeFillTint="66"/>
            <w:noWrap/>
            <w:vAlign w:val="bottom"/>
            <w:hideMark/>
          </w:tcPr>
          <w:p w:rsidR="00CE4FCD" w:rsidRPr="00F2489D" w:rsidRDefault="00CE4FCD" w:rsidP="00D2466A">
            <w:pPr>
              <w:spacing w:after="0" w:line="240" w:lineRule="auto"/>
              <w:rPr>
                <w:rFonts w:ascii="Garamond" w:hAnsi="Garamond"/>
                <w:color w:val="000000"/>
                <w:sz w:val="18"/>
                <w:szCs w:val="18"/>
              </w:rPr>
            </w:pPr>
            <w:r w:rsidRPr="00F2489D">
              <w:rPr>
                <w:rFonts w:ascii="Garamond" w:hAnsi="Garamond"/>
                <w:color w:val="000000"/>
                <w:sz w:val="18"/>
                <w:szCs w:val="18"/>
              </w:rPr>
              <w:t xml:space="preserve">Climate focused </w:t>
            </w:r>
            <w:r>
              <w:rPr>
                <w:rFonts w:ascii="Garamond" w:hAnsi="Garamond"/>
                <w:color w:val="000000"/>
                <w:sz w:val="18"/>
                <w:szCs w:val="18"/>
              </w:rPr>
              <w:t>p</w:t>
            </w:r>
            <w:r w:rsidRPr="00F2489D">
              <w:rPr>
                <w:rFonts w:ascii="Garamond" w:hAnsi="Garamond"/>
                <w:color w:val="000000"/>
                <w:sz w:val="18"/>
                <w:szCs w:val="18"/>
              </w:rPr>
              <w:t>roject preparation fund established</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31"/>
        </w:trPr>
        <w:tc>
          <w:tcPr>
            <w:tcW w:w="720" w:type="dxa"/>
            <w:tcBorders>
              <w:top w:val="single" w:sz="4" w:space="0" w:color="auto"/>
              <w:left w:val="single" w:sz="4" w:space="0" w:color="auto"/>
              <w:bottom w:val="nil"/>
              <w:right w:val="single" w:sz="4" w:space="0" w:color="auto"/>
            </w:tcBorders>
            <w:shd w:val="clear" w:color="000000" w:fill="C4D79B"/>
            <w:noWrap/>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 </w:t>
            </w: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B050"/>
                <w:sz w:val="18"/>
                <w:szCs w:val="18"/>
              </w:rPr>
            </w:pPr>
          </w:p>
        </w:tc>
        <w:tc>
          <w:tcPr>
            <w:tcW w:w="2183" w:type="dxa"/>
            <w:tcBorders>
              <w:top w:val="nil"/>
              <w:left w:val="nil"/>
              <w:bottom w:val="single" w:sz="4" w:space="0" w:color="auto"/>
              <w:right w:val="single" w:sz="4" w:space="0" w:color="auto"/>
            </w:tcBorders>
            <w:shd w:val="clear" w:color="auto" w:fill="C5E0B3" w:themeFill="accent6" w:themeFillTint="66"/>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xml:space="preserve">CRGE-related economy-wide baseline data established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2562" w:type="dxa"/>
            <w:tcBorders>
              <w:top w:val="nil"/>
              <w:left w:val="nil"/>
              <w:bottom w:val="single" w:sz="4" w:space="0" w:color="auto"/>
              <w:right w:val="single" w:sz="4" w:space="0" w:color="auto"/>
            </w:tcBorders>
            <w:shd w:val="clear" w:color="auto" w:fill="auto"/>
            <w:noWrap/>
            <w:vAlign w:val="center"/>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Key Interventions: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0C0EBB" w:rsidRDefault="00CE4FCD" w:rsidP="00171CF3">
            <w:pPr>
              <w:spacing w:after="0" w:line="240" w:lineRule="auto"/>
              <w:rPr>
                <w:rFonts w:ascii="Garamond" w:hAnsi="Garamond"/>
                <w:color w:val="000000"/>
                <w:sz w:val="18"/>
                <w:szCs w:val="18"/>
              </w:rPr>
            </w:pPr>
            <w:r w:rsidRPr="000C0EBB">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696"/>
        </w:trPr>
        <w:tc>
          <w:tcPr>
            <w:tcW w:w="720" w:type="dxa"/>
            <w:tcBorders>
              <w:top w:val="nil"/>
              <w:left w:val="single" w:sz="4" w:space="0" w:color="auto"/>
              <w:bottom w:val="single" w:sz="4" w:space="0" w:color="auto"/>
              <w:right w:val="single" w:sz="4" w:space="0" w:color="auto"/>
            </w:tcBorders>
            <w:shd w:val="clear" w:color="auto" w:fill="auto"/>
            <w:hideMark/>
          </w:tcPr>
          <w:p w:rsidR="00CE4FCD" w:rsidRPr="00F2489D" w:rsidRDefault="00CE4FCD" w:rsidP="00034967">
            <w:pPr>
              <w:spacing w:after="0" w:line="240" w:lineRule="auto"/>
              <w:rPr>
                <w:rFonts w:ascii="Garamond" w:hAnsi="Garamond"/>
                <w:color w:val="000000"/>
                <w:sz w:val="18"/>
                <w:szCs w:val="18"/>
              </w:rPr>
            </w:pPr>
            <w:r>
              <w:rPr>
                <w:rFonts w:ascii="Garamond" w:hAnsi="Garamond"/>
                <w:color w:val="000000"/>
                <w:sz w:val="18"/>
                <w:szCs w:val="18"/>
              </w:rPr>
              <w:t>5</w:t>
            </w:r>
            <w:r w:rsidRPr="00F2489D">
              <w:rPr>
                <w:rFonts w:ascii="Garamond" w:hAnsi="Garamond"/>
                <w:color w:val="000000"/>
                <w:sz w:val="18"/>
                <w:szCs w:val="18"/>
              </w:rPr>
              <w:t>.3.1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Enhance coordination and harmonization of climate-related programmes to maximize synergies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0C0EBB" w:rsidRDefault="00CE4FCD" w:rsidP="00171CF3">
            <w:pPr>
              <w:spacing w:after="0" w:line="240" w:lineRule="auto"/>
              <w:rPr>
                <w:rFonts w:ascii="Garamond" w:hAnsi="Garamond"/>
                <w:color w:val="000000"/>
                <w:sz w:val="18"/>
                <w:szCs w:val="18"/>
              </w:rPr>
            </w:pPr>
            <w:r w:rsidRPr="000C0EBB">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MEFCC</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1079"/>
        </w:trPr>
        <w:tc>
          <w:tcPr>
            <w:tcW w:w="720" w:type="dxa"/>
            <w:tcBorders>
              <w:top w:val="nil"/>
              <w:left w:val="single" w:sz="4" w:space="0" w:color="auto"/>
              <w:bottom w:val="single" w:sz="4" w:space="0" w:color="auto"/>
              <w:right w:val="single" w:sz="4" w:space="0" w:color="auto"/>
            </w:tcBorders>
            <w:shd w:val="clear" w:color="auto" w:fill="auto"/>
            <w:hideMark/>
          </w:tcPr>
          <w:p w:rsidR="00CE4FCD" w:rsidRPr="00F2489D" w:rsidRDefault="00CE4FCD" w:rsidP="00034967">
            <w:pPr>
              <w:spacing w:after="0" w:line="240" w:lineRule="auto"/>
              <w:rPr>
                <w:rFonts w:ascii="Garamond" w:hAnsi="Garamond"/>
                <w:color w:val="000000"/>
                <w:sz w:val="18"/>
                <w:szCs w:val="18"/>
              </w:rPr>
            </w:pPr>
            <w:r>
              <w:rPr>
                <w:rFonts w:ascii="Garamond" w:hAnsi="Garamond"/>
                <w:color w:val="000000"/>
                <w:sz w:val="18"/>
                <w:szCs w:val="18"/>
              </w:rPr>
              <w:t>5</w:t>
            </w:r>
            <w:r w:rsidRPr="00F2489D">
              <w:rPr>
                <w:rFonts w:ascii="Garamond" w:hAnsi="Garamond"/>
                <w:color w:val="000000"/>
                <w:sz w:val="18"/>
                <w:szCs w:val="18"/>
              </w:rPr>
              <w:t>.3.2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531EF2">
            <w:pPr>
              <w:spacing w:after="0" w:line="240" w:lineRule="auto"/>
              <w:jc w:val="both"/>
              <w:rPr>
                <w:rFonts w:ascii="Garamond" w:hAnsi="Garamond"/>
                <w:color w:val="000000"/>
                <w:sz w:val="18"/>
                <w:szCs w:val="18"/>
              </w:rPr>
            </w:pPr>
            <w:r w:rsidRPr="00F2489D">
              <w:rPr>
                <w:rFonts w:ascii="Garamond" w:hAnsi="Garamond"/>
                <w:color w:val="000000"/>
                <w:sz w:val="18"/>
                <w:szCs w:val="18"/>
              </w:rPr>
              <w:t>Undertake comprehensive assessment of C</w:t>
            </w:r>
            <w:r>
              <w:rPr>
                <w:rFonts w:ascii="Garamond" w:hAnsi="Garamond"/>
                <w:color w:val="000000"/>
                <w:sz w:val="18"/>
                <w:szCs w:val="18"/>
              </w:rPr>
              <w:t xml:space="preserve">RGE </w:t>
            </w:r>
            <w:r w:rsidRPr="00F2489D">
              <w:rPr>
                <w:rFonts w:ascii="Garamond" w:hAnsi="Garamond"/>
                <w:color w:val="000000"/>
                <w:sz w:val="18"/>
                <w:szCs w:val="18"/>
              </w:rPr>
              <w:t xml:space="preserve">investment needs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0C0EBB" w:rsidRDefault="00CE4FCD" w:rsidP="00171CF3">
            <w:pPr>
              <w:spacing w:after="0" w:line="240" w:lineRule="auto"/>
              <w:rPr>
                <w:rFonts w:ascii="Garamond" w:hAnsi="Garamond"/>
                <w:color w:val="000000"/>
                <w:sz w:val="18"/>
                <w:szCs w:val="18"/>
              </w:rPr>
            </w:pPr>
            <w:r w:rsidRPr="000C0EBB">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MEFCC,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531EF2" w:rsidRPr="00F2489D" w:rsidTr="00441C11">
        <w:trPr>
          <w:trHeight w:val="1079"/>
        </w:trPr>
        <w:tc>
          <w:tcPr>
            <w:tcW w:w="720" w:type="dxa"/>
            <w:tcBorders>
              <w:top w:val="nil"/>
              <w:left w:val="single" w:sz="4" w:space="0" w:color="auto"/>
              <w:bottom w:val="single" w:sz="4" w:space="0" w:color="auto"/>
              <w:right w:val="single" w:sz="4" w:space="0" w:color="auto"/>
            </w:tcBorders>
            <w:shd w:val="clear" w:color="auto" w:fill="auto"/>
          </w:tcPr>
          <w:p w:rsidR="00531EF2" w:rsidRDefault="00531EF2" w:rsidP="00034967">
            <w:pPr>
              <w:spacing w:after="0" w:line="240" w:lineRule="auto"/>
              <w:rPr>
                <w:rFonts w:ascii="Garamond" w:hAnsi="Garamond"/>
                <w:color w:val="000000"/>
                <w:sz w:val="18"/>
                <w:szCs w:val="18"/>
              </w:rPr>
            </w:pPr>
            <w:r>
              <w:rPr>
                <w:rFonts w:ascii="Garamond" w:hAnsi="Garamond"/>
                <w:color w:val="000000"/>
                <w:sz w:val="18"/>
                <w:szCs w:val="18"/>
              </w:rPr>
              <w:t>5.3.3</w:t>
            </w:r>
          </w:p>
        </w:tc>
        <w:tc>
          <w:tcPr>
            <w:tcW w:w="2562" w:type="dxa"/>
            <w:tcBorders>
              <w:top w:val="nil"/>
              <w:left w:val="nil"/>
              <w:bottom w:val="single" w:sz="4" w:space="0" w:color="auto"/>
              <w:right w:val="single" w:sz="4" w:space="0" w:color="auto"/>
            </w:tcBorders>
            <w:shd w:val="clear" w:color="auto" w:fill="auto"/>
          </w:tcPr>
          <w:p w:rsidR="00531EF2" w:rsidRPr="00F2489D" w:rsidRDefault="00531EF2" w:rsidP="00971DF9">
            <w:pPr>
              <w:spacing w:after="0" w:line="240" w:lineRule="auto"/>
              <w:jc w:val="both"/>
              <w:rPr>
                <w:rFonts w:ascii="Garamond" w:hAnsi="Garamond"/>
                <w:color w:val="000000"/>
                <w:sz w:val="18"/>
                <w:szCs w:val="18"/>
              </w:rPr>
            </w:pPr>
            <w:r>
              <w:rPr>
                <w:rFonts w:ascii="Garamond" w:hAnsi="Garamond"/>
                <w:color w:val="000000"/>
                <w:sz w:val="18"/>
                <w:szCs w:val="18"/>
              </w:rPr>
              <w:t>E</w:t>
            </w:r>
            <w:r w:rsidRPr="00F2489D">
              <w:rPr>
                <w:rFonts w:ascii="Garamond" w:hAnsi="Garamond"/>
                <w:color w:val="000000"/>
                <w:sz w:val="18"/>
                <w:szCs w:val="18"/>
              </w:rPr>
              <w:t>stablish economy-wide baseline c</w:t>
            </w:r>
            <w:r>
              <w:rPr>
                <w:rFonts w:ascii="Garamond" w:hAnsi="Garamond"/>
                <w:color w:val="000000"/>
                <w:sz w:val="18"/>
                <w:szCs w:val="18"/>
              </w:rPr>
              <w:t>limate change relevant finance</w:t>
            </w:r>
          </w:p>
        </w:tc>
        <w:tc>
          <w:tcPr>
            <w:tcW w:w="2183" w:type="dxa"/>
            <w:tcBorders>
              <w:top w:val="nil"/>
              <w:left w:val="nil"/>
              <w:bottom w:val="single" w:sz="4" w:space="0" w:color="auto"/>
              <w:right w:val="single" w:sz="4" w:space="0" w:color="auto"/>
            </w:tcBorders>
            <w:shd w:val="clear" w:color="auto" w:fill="auto"/>
            <w:noWrap/>
            <w:vAlign w:val="bottom"/>
          </w:tcPr>
          <w:p w:rsidR="00531EF2" w:rsidRPr="000C0EBB" w:rsidRDefault="00531EF2"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000000" w:fill="00B0F0"/>
            <w:noWrap/>
            <w:vAlign w:val="bottom"/>
          </w:tcPr>
          <w:p w:rsidR="00531EF2" w:rsidRPr="00F2489D" w:rsidRDefault="00531EF2"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000000" w:fill="00B0F0"/>
            <w:noWrap/>
            <w:vAlign w:val="bottom"/>
          </w:tcPr>
          <w:p w:rsidR="00531EF2" w:rsidRPr="00F2489D" w:rsidRDefault="00531EF2" w:rsidP="00171CF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531EF2" w:rsidRPr="00F2489D" w:rsidRDefault="00531EF2" w:rsidP="00171CF3">
            <w:pPr>
              <w:spacing w:after="0" w:line="240" w:lineRule="auto"/>
              <w:rPr>
                <w:rFonts w:ascii="Garamond" w:hAnsi="Garamond"/>
                <w:color w:val="00B050"/>
                <w:sz w:val="18"/>
                <w:szCs w:val="18"/>
              </w:rPr>
            </w:pPr>
          </w:p>
        </w:tc>
        <w:tc>
          <w:tcPr>
            <w:tcW w:w="576" w:type="dxa"/>
            <w:tcBorders>
              <w:top w:val="nil"/>
              <w:left w:val="nil"/>
              <w:bottom w:val="single" w:sz="4" w:space="0" w:color="auto"/>
              <w:right w:val="single" w:sz="4" w:space="0" w:color="auto"/>
            </w:tcBorders>
            <w:shd w:val="clear" w:color="auto" w:fill="auto"/>
            <w:noWrap/>
            <w:vAlign w:val="bottom"/>
          </w:tcPr>
          <w:p w:rsidR="00531EF2" w:rsidRPr="00F2489D" w:rsidRDefault="00531EF2" w:rsidP="00171CF3">
            <w:pPr>
              <w:spacing w:after="0" w:line="240" w:lineRule="auto"/>
              <w:rPr>
                <w:rFonts w:ascii="Garamond" w:hAnsi="Garamond"/>
                <w:color w:val="00B050"/>
                <w:sz w:val="18"/>
                <w:szCs w:val="18"/>
              </w:rPr>
            </w:pPr>
          </w:p>
        </w:tc>
        <w:tc>
          <w:tcPr>
            <w:tcW w:w="1710" w:type="dxa"/>
            <w:tcBorders>
              <w:top w:val="nil"/>
              <w:left w:val="nil"/>
              <w:bottom w:val="single" w:sz="4" w:space="0" w:color="auto"/>
              <w:right w:val="single" w:sz="4" w:space="0" w:color="auto"/>
            </w:tcBorders>
            <w:shd w:val="clear" w:color="auto" w:fill="auto"/>
            <w:vAlign w:val="bottom"/>
          </w:tcPr>
          <w:p w:rsidR="00531EF2" w:rsidRPr="00F2489D" w:rsidRDefault="00531EF2" w:rsidP="00171CF3">
            <w:pPr>
              <w:spacing w:after="0" w:line="240" w:lineRule="auto"/>
              <w:rPr>
                <w:rFonts w:ascii="Garamond" w:hAnsi="Garamond"/>
                <w:color w:val="000000"/>
                <w:sz w:val="18"/>
                <w:szCs w:val="18"/>
              </w:rPr>
            </w:pPr>
            <w:r w:rsidRPr="00F2489D">
              <w:rPr>
                <w:rFonts w:ascii="Garamond" w:hAnsi="Garamond"/>
                <w:color w:val="000000"/>
                <w:sz w:val="18"/>
                <w:szCs w:val="18"/>
              </w:rPr>
              <w:t>MoFEC, MEFCC, DPs</w:t>
            </w:r>
          </w:p>
        </w:tc>
        <w:tc>
          <w:tcPr>
            <w:tcW w:w="864" w:type="dxa"/>
            <w:gridSpan w:val="2"/>
            <w:tcBorders>
              <w:top w:val="nil"/>
              <w:left w:val="nil"/>
              <w:bottom w:val="single" w:sz="4" w:space="0" w:color="auto"/>
              <w:right w:val="single" w:sz="4" w:space="0" w:color="auto"/>
            </w:tcBorders>
          </w:tcPr>
          <w:p w:rsidR="00531EF2" w:rsidRPr="00F2489D" w:rsidRDefault="00531EF2" w:rsidP="00171CF3">
            <w:pPr>
              <w:spacing w:after="0" w:line="240" w:lineRule="auto"/>
              <w:rPr>
                <w:rFonts w:ascii="Garamond" w:hAnsi="Garamond"/>
                <w:color w:val="000000"/>
                <w:sz w:val="18"/>
                <w:szCs w:val="18"/>
              </w:rPr>
            </w:pPr>
          </w:p>
        </w:tc>
      </w:tr>
      <w:tr w:rsidR="00CE4FCD" w:rsidRPr="00F2489D" w:rsidTr="00441C11">
        <w:trPr>
          <w:trHeight w:val="521"/>
        </w:trPr>
        <w:tc>
          <w:tcPr>
            <w:tcW w:w="720" w:type="dxa"/>
            <w:tcBorders>
              <w:top w:val="nil"/>
              <w:left w:val="single" w:sz="4" w:space="0" w:color="auto"/>
              <w:bottom w:val="single" w:sz="4" w:space="0" w:color="auto"/>
              <w:right w:val="single" w:sz="4" w:space="0" w:color="auto"/>
            </w:tcBorders>
            <w:shd w:val="clear" w:color="auto" w:fill="auto"/>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CE4FCD" w:rsidP="00171CF3">
            <w:pPr>
              <w:spacing w:after="0" w:line="240" w:lineRule="auto"/>
              <w:jc w:val="both"/>
              <w:rPr>
                <w:rFonts w:ascii="Garamond" w:hAnsi="Garamond"/>
                <w:color w:val="000000"/>
                <w:sz w:val="18"/>
                <w:szCs w:val="18"/>
              </w:rPr>
            </w:pPr>
            <w:r w:rsidRPr="00F2489D">
              <w:rPr>
                <w:rFonts w:ascii="Garamond" w:hAnsi="Garamond"/>
                <w:color w:val="000000"/>
                <w:sz w:val="18"/>
                <w:szCs w:val="18"/>
              </w:rPr>
              <w:t xml:space="preserve">Establish project preparation fund to strengthen government capacity to access climate related finance </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0C0EBB" w:rsidRDefault="00CE4FCD" w:rsidP="00171CF3">
            <w:pPr>
              <w:spacing w:after="0" w:line="240" w:lineRule="auto"/>
              <w:rPr>
                <w:rFonts w:ascii="Garamond" w:hAnsi="Garamond"/>
                <w:color w:val="000000"/>
                <w:sz w:val="18"/>
                <w:szCs w:val="18"/>
              </w:rPr>
            </w:pPr>
            <w:r w:rsidRPr="000C0EBB">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MoFEC, MEFCC,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40"/>
        </w:trPr>
        <w:tc>
          <w:tcPr>
            <w:tcW w:w="720" w:type="dxa"/>
            <w:vMerge w:val="restart"/>
            <w:tcBorders>
              <w:top w:val="nil"/>
              <w:left w:val="single" w:sz="4" w:space="0" w:color="auto"/>
              <w:bottom w:val="single" w:sz="4" w:space="0" w:color="000000"/>
              <w:right w:val="single" w:sz="4" w:space="0" w:color="auto"/>
            </w:tcBorders>
            <w:shd w:val="clear" w:color="000000" w:fill="C4D79B"/>
            <w:noWrap/>
            <w:hideMark/>
          </w:tcPr>
          <w:p w:rsidR="00CE4FCD" w:rsidRPr="00F2489D" w:rsidRDefault="00CE4FCD" w:rsidP="00034967">
            <w:pPr>
              <w:spacing w:after="0" w:line="240" w:lineRule="auto"/>
              <w:jc w:val="right"/>
              <w:rPr>
                <w:rFonts w:ascii="Garamond" w:hAnsi="Garamond"/>
                <w:color w:val="000000"/>
                <w:sz w:val="18"/>
                <w:szCs w:val="18"/>
              </w:rPr>
            </w:pPr>
            <w:r>
              <w:rPr>
                <w:rFonts w:ascii="Garamond" w:hAnsi="Garamond"/>
                <w:color w:val="000000"/>
                <w:sz w:val="18"/>
                <w:szCs w:val="18"/>
              </w:rPr>
              <w:t>5</w:t>
            </w:r>
            <w:r w:rsidRPr="00F2489D">
              <w:rPr>
                <w:rFonts w:ascii="Garamond" w:hAnsi="Garamond"/>
                <w:color w:val="000000"/>
                <w:sz w:val="18"/>
                <w:szCs w:val="18"/>
              </w:rPr>
              <w:t>.4</w:t>
            </w:r>
          </w:p>
        </w:tc>
        <w:tc>
          <w:tcPr>
            <w:tcW w:w="2562" w:type="dxa"/>
            <w:vMerge w:val="restart"/>
            <w:tcBorders>
              <w:top w:val="nil"/>
              <w:left w:val="single" w:sz="4" w:space="0" w:color="auto"/>
              <w:bottom w:val="single" w:sz="4" w:space="0" w:color="000000"/>
              <w:right w:val="single" w:sz="4" w:space="0" w:color="auto"/>
            </w:tcBorders>
            <w:shd w:val="clear" w:color="000000" w:fill="C4D79B"/>
            <w:hideMark/>
          </w:tcPr>
          <w:p w:rsidR="00CE4FCD" w:rsidRPr="00F2489D" w:rsidRDefault="00CE4FCD" w:rsidP="00034967">
            <w:pPr>
              <w:spacing w:after="0" w:line="240" w:lineRule="auto"/>
              <w:rPr>
                <w:rFonts w:ascii="Garamond" w:hAnsi="Garamond"/>
                <w:b/>
                <w:bCs/>
                <w:color w:val="000000"/>
                <w:sz w:val="18"/>
                <w:szCs w:val="18"/>
              </w:rPr>
            </w:pPr>
            <w:r w:rsidRPr="00F2489D">
              <w:rPr>
                <w:rFonts w:ascii="Garamond" w:hAnsi="Garamond"/>
                <w:b/>
                <w:bCs/>
                <w:color w:val="000000"/>
                <w:sz w:val="18"/>
                <w:szCs w:val="18"/>
              </w:rPr>
              <w:t xml:space="preserve">Output </w:t>
            </w:r>
            <w:r>
              <w:rPr>
                <w:rFonts w:ascii="Garamond" w:hAnsi="Garamond"/>
                <w:b/>
                <w:bCs/>
                <w:color w:val="000000"/>
                <w:sz w:val="18"/>
                <w:szCs w:val="18"/>
              </w:rPr>
              <w:t>5</w:t>
            </w:r>
            <w:r w:rsidRPr="00F2489D">
              <w:rPr>
                <w:rFonts w:ascii="Garamond" w:hAnsi="Garamond"/>
                <w:b/>
                <w:bCs/>
                <w:color w:val="000000"/>
                <w:sz w:val="18"/>
                <w:szCs w:val="18"/>
              </w:rPr>
              <w:t>.4: Capacit</w:t>
            </w:r>
            <w:r>
              <w:rPr>
                <w:rFonts w:ascii="Garamond" w:hAnsi="Garamond"/>
                <w:b/>
                <w:bCs/>
                <w:color w:val="000000"/>
                <w:sz w:val="18"/>
                <w:szCs w:val="18"/>
              </w:rPr>
              <w:t>y</w:t>
            </w:r>
            <w:r w:rsidRPr="00F2489D">
              <w:rPr>
                <w:rFonts w:ascii="Garamond" w:hAnsi="Garamond"/>
                <w:b/>
                <w:bCs/>
                <w:color w:val="000000"/>
                <w:sz w:val="18"/>
                <w:szCs w:val="18"/>
              </w:rPr>
              <w:t xml:space="preserve"> to ensure social security, inclusiveness and social services enhanced </w:t>
            </w:r>
          </w:p>
        </w:tc>
        <w:tc>
          <w:tcPr>
            <w:tcW w:w="2183" w:type="dxa"/>
            <w:tcBorders>
              <w:top w:val="nil"/>
              <w:left w:val="nil"/>
              <w:bottom w:val="single" w:sz="4" w:space="0" w:color="auto"/>
              <w:right w:val="single" w:sz="4" w:space="0" w:color="auto"/>
            </w:tcBorders>
            <w:shd w:val="clear" w:color="auto" w:fill="C5E0B3" w:themeFill="accent6" w:themeFillTint="66"/>
            <w:hideMark/>
          </w:tcPr>
          <w:p w:rsidR="00CE4FCD" w:rsidRPr="000C0EBB" w:rsidRDefault="00CE4FCD" w:rsidP="00171CF3">
            <w:pPr>
              <w:spacing w:after="0" w:line="240" w:lineRule="auto"/>
              <w:rPr>
                <w:rFonts w:ascii="Garamond" w:hAnsi="Garamond"/>
                <w:color w:val="000000"/>
                <w:sz w:val="18"/>
                <w:szCs w:val="18"/>
              </w:rPr>
            </w:pPr>
            <w:r w:rsidRPr="000C0EBB">
              <w:rPr>
                <w:rFonts w:ascii="Garamond" w:hAnsi="Garamond"/>
                <w:color w:val="000000"/>
                <w:sz w:val="18"/>
                <w:szCs w:val="18"/>
              </w:rPr>
              <w:t xml:space="preserve">Number of people covered with social security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40"/>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B05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B050"/>
                <w:sz w:val="18"/>
                <w:szCs w:val="18"/>
              </w:rPr>
            </w:pPr>
          </w:p>
        </w:tc>
        <w:tc>
          <w:tcPr>
            <w:tcW w:w="2183" w:type="dxa"/>
            <w:tcBorders>
              <w:top w:val="nil"/>
              <w:left w:val="nil"/>
              <w:bottom w:val="single" w:sz="4" w:space="0" w:color="auto"/>
              <w:right w:val="single" w:sz="4" w:space="0" w:color="auto"/>
            </w:tcBorders>
            <w:shd w:val="clear" w:color="auto" w:fill="C5E0B3" w:themeFill="accent6" w:themeFillTint="66"/>
            <w:vAlign w:val="center"/>
            <w:hideMark/>
          </w:tcPr>
          <w:p w:rsidR="00CE4FCD" w:rsidRPr="000C0EBB" w:rsidRDefault="00CE4FCD" w:rsidP="00171CF3">
            <w:pPr>
              <w:spacing w:after="0" w:line="240" w:lineRule="auto"/>
              <w:rPr>
                <w:rFonts w:ascii="Garamond" w:hAnsi="Garamond"/>
                <w:color w:val="000000"/>
                <w:sz w:val="18"/>
                <w:szCs w:val="18"/>
              </w:rPr>
            </w:pPr>
            <w:r w:rsidRPr="000C0EBB">
              <w:rPr>
                <w:rFonts w:ascii="Garamond" w:hAnsi="Garamond"/>
                <w:color w:val="000000"/>
                <w:sz w:val="18"/>
                <w:szCs w:val="18"/>
              </w:rPr>
              <w:t xml:space="preserve">Number of small and medium sized enterprises created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92"/>
        </w:trPr>
        <w:tc>
          <w:tcPr>
            <w:tcW w:w="720" w:type="dxa"/>
            <w:vMerge/>
            <w:tcBorders>
              <w:top w:val="nil"/>
              <w:left w:val="single" w:sz="4" w:space="0" w:color="auto"/>
              <w:bottom w:val="single" w:sz="4" w:space="0" w:color="000000"/>
              <w:right w:val="single" w:sz="4" w:space="0" w:color="auto"/>
            </w:tcBorders>
            <w:vAlign w:val="center"/>
          </w:tcPr>
          <w:p w:rsidR="00CE4FCD" w:rsidRPr="00F2489D" w:rsidRDefault="00CE4FCD" w:rsidP="00171CF3">
            <w:pPr>
              <w:spacing w:after="0" w:line="240" w:lineRule="auto"/>
              <w:rPr>
                <w:rFonts w:ascii="Garamond" w:hAnsi="Garamond"/>
                <w:b/>
                <w:bCs/>
                <w:color w:val="00B050"/>
                <w:sz w:val="18"/>
                <w:szCs w:val="18"/>
              </w:rPr>
            </w:pPr>
          </w:p>
        </w:tc>
        <w:tc>
          <w:tcPr>
            <w:tcW w:w="2562" w:type="dxa"/>
            <w:vMerge/>
            <w:tcBorders>
              <w:top w:val="nil"/>
              <w:left w:val="single" w:sz="4" w:space="0" w:color="auto"/>
              <w:bottom w:val="single" w:sz="4" w:space="0" w:color="000000"/>
              <w:right w:val="single" w:sz="4" w:space="0" w:color="auto"/>
            </w:tcBorders>
            <w:vAlign w:val="center"/>
          </w:tcPr>
          <w:p w:rsidR="00CE4FCD" w:rsidRPr="00F2489D" w:rsidRDefault="00CE4FCD" w:rsidP="00171CF3">
            <w:pPr>
              <w:spacing w:after="0" w:line="240" w:lineRule="auto"/>
              <w:rPr>
                <w:rFonts w:ascii="Garamond" w:hAnsi="Garamond"/>
                <w:b/>
                <w:bCs/>
                <w:color w:val="00B050"/>
                <w:sz w:val="18"/>
                <w:szCs w:val="18"/>
              </w:rPr>
            </w:pPr>
          </w:p>
        </w:tc>
        <w:tc>
          <w:tcPr>
            <w:tcW w:w="2183" w:type="dxa"/>
            <w:tcBorders>
              <w:top w:val="nil"/>
              <w:left w:val="nil"/>
              <w:bottom w:val="single" w:sz="4" w:space="0" w:color="auto"/>
              <w:right w:val="single" w:sz="4" w:space="0" w:color="auto"/>
            </w:tcBorders>
            <w:shd w:val="clear" w:color="auto" w:fill="C5E0B3" w:themeFill="accent6" w:themeFillTint="66"/>
            <w:vAlign w:val="center"/>
          </w:tcPr>
          <w:p w:rsidR="00CE4FCD" w:rsidRPr="000C0EBB" w:rsidRDefault="00CE4FCD" w:rsidP="00EF12ED">
            <w:pPr>
              <w:spacing w:after="0" w:line="240" w:lineRule="auto"/>
              <w:rPr>
                <w:rFonts w:ascii="Garamond" w:hAnsi="Garamond"/>
                <w:color w:val="000000"/>
                <w:sz w:val="18"/>
                <w:szCs w:val="18"/>
              </w:rPr>
            </w:pPr>
            <w:r w:rsidRPr="00874620">
              <w:rPr>
                <w:rFonts w:ascii="Garamond" w:hAnsi="Garamond"/>
                <w:color w:val="000000"/>
                <w:sz w:val="18"/>
                <w:szCs w:val="18"/>
              </w:rPr>
              <w:t xml:space="preserve">The share of micro and small scale </w:t>
            </w:r>
            <w:r>
              <w:rPr>
                <w:rFonts w:ascii="Garamond" w:hAnsi="Garamond"/>
                <w:color w:val="000000"/>
                <w:sz w:val="18"/>
                <w:szCs w:val="18"/>
              </w:rPr>
              <w:t>i</w:t>
            </w:r>
            <w:r w:rsidRPr="00874620">
              <w:rPr>
                <w:rFonts w:ascii="Garamond" w:hAnsi="Garamond"/>
                <w:color w:val="000000"/>
                <w:sz w:val="18"/>
                <w:szCs w:val="18"/>
              </w:rPr>
              <w:t>ndustry in total GDP</w:t>
            </w:r>
            <w:r w:rsidR="005F6D2A">
              <w:rPr>
                <w:rFonts w:ascii="Garamond" w:hAnsi="Garamond"/>
                <w:color w:val="000000"/>
                <w:sz w:val="18"/>
                <w:szCs w:val="18"/>
              </w:rPr>
              <w:t xml:space="preserve"> (Percent)</w:t>
            </w: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EF12ED" w:rsidP="00171CF3">
            <w:pPr>
              <w:spacing w:after="0" w:line="240" w:lineRule="auto"/>
              <w:rPr>
                <w:rFonts w:ascii="Garamond" w:hAnsi="Garamond"/>
                <w:color w:val="00B050"/>
                <w:sz w:val="18"/>
                <w:szCs w:val="18"/>
              </w:rPr>
            </w:pPr>
            <w:r>
              <w:rPr>
                <w:rFonts w:ascii="Garamond" w:hAnsi="Garamond"/>
                <w:color w:val="00B050"/>
                <w:sz w:val="18"/>
                <w:szCs w:val="18"/>
              </w:rPr>
              <w:t>1.4</w:t>
            </w: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B05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B050"/>
                <w:sz w:val="18"/>
                <w:szCs w:val="18"/>
              </w:rPr>
            </w:pPr>
          </w:p>
        </w:tc>
        <w:tc>
          <w:tcPr>
            <w:tcW w:w="576" w:type="dxa"/>
            <w:tcBorders>
              <w:top w:val="nil"/>
              <w:left w:val="nil"/>
              <w:bottom w:val="single" w:sz="4" w:space="0" w:color="auto"/>
              <w:right w:val="single" w:sz="4" w:space="0" w:color="auto"/>
            </w:tcBorders>
            <w:shd w:val="clear" w:color="auto" w:fill="auto"/>
            <w:noWrap/>
            <w:vAlign w:val="bottom"/>
          </w:tcPr>
          <w:p w:rsidR="00CE4FCD" w:rsidRPr="00F2489D" w:rsidRDefault="00CE4FCD" w:rsidP="00171CF3">
            <w:pPr>
              <w:spacing w:after="0" w:line="240" w:lineRule="auto"/>
              <w:rPr>
                <w:rFonts w:ascii="Garamond" w:hAnsi="Garamond"/>
                <w:color w:val="00B050"/>
                <w:sz w:val="18"/>
                <w:szCs w:val="18"/>
              </w:rPr>
            </w:pPr>
          </w:p>
        </w:tc>
        <w:tc>
          <w:tcPr>
            <w:tcW w:w="1710" w:type="dxa"/>
            <w:tcBorders>
              <w:top w:val="nil"/>
              <w:left w:val="nil"/>
              <w:bottom w:val="single" w:sz="4" w:space="0" w:color="auto"/>
              <w:right w:val="single" w:sz="4" w:space="0" w:color="auto"/>
            </w:tcBorders>
            <w:shd w:val="clear" w:color="auto" w:fill="auto"/>
            <w:vAlign w:val="bottom"/>
          </w:tcPr>
          <w:p w:rsidR="00CE4FCD" w:rsidRPr="00F2489D" w:rsidRDefault="00CE4FCD" w:rsidP="00171CF3">
            <w:pPr>
              <w:spacing w:after="0" w:line="240" w:lineRule="auto"/>
              <w:rPr>
                <w:rFonts w:ascii="Garamond" w:hAnsi="Garamond"/>
                <w:color w:val="000000"/>
                <w:sz w:val="18"/>
                <w:szCs w:val="18"/>
              </w:rPr>
            </w:pP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492"/>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B05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B050"/>
                <w:sz w:val="18"/>
                <w:szCs w:val="18"/>
              </w:rPr>
            </w:pPr>
          </w:p>
        </w:tc>
        <w:tc>
          <w:tcPr>
            <w:tcW w:w="2183" w:type="dxa"/>
            <w:tcBorders>
              <w:top w:val="nil"/>
              <w:left w:val="nil"/>
              <w:bottom w:val="single" w:sz="4" w:space="0" w:color="auto"/>
              <w:right w:val="single" w:sz="4" w:space="0" w:color="auto"/>
            </w:tcBorders>
            <w:shd w:val="clear" w:color="auto" w:fill="C5E0B3" w:themeFill="accent6" w:themeFillTint="66"/>
            <w:vAlign w:val="center"/>
            <w:hideMark/>
          </w:tcPr>
          <w:p w:rsidR="00CE4FCD" w:rsidRPr="000C0EBB" w:rsidRDefault="00740D2E" w:rsidP="000A21B3">
            <w:pPr>
              <w:spacing w:after="0" w:line="240" w:lineRule="auto"/>
              <w:rPr>
                <w:rFonts w:ascii="Garamond" w:hAnsi="Garamond"/>
                <w:color w:val="000000"/>
                <w:sz w:val="18"/>
                <w:szCs w:val="18"/>
              </w:rPr>
            </w:pPr>
            <w:r>
              <w:rPr>
                <w:rFonts w:ascii="Garamond" w:hAnsi="Garamond"/>
                <w:color w:val="000000"/>
                <w:sz w:val="18"/>
                <w:szCs w:val="18"/>
              </w:rPr>
              <w:t xml:space="preserve">Amount of loan provided to SMEs </w:t>
            </w:r>
            <w:r w:rsidR="00BC34ED">
              <w:rPr>
                <w:rFonts w:ascii="Garamond" w:hAnsi="Garamond"/>
                <w:color w:val="000000"/>
                <w:sz w:val="18"/>
                <w:szCs w:val="18"/>
              </w:rPr>
              <w:t xml:space="preserve">through banks </w:t>
            </w:r>
            <w:r>
              <w:rPr>
                <w:rFonts w:ascii="Garamond" w:hAnsi="Garamond"/>
                <w:color w:val="000000"/>
                <w:sz w:val="18"/>
                <w:szCs w:val="18"/>
              </w:rPr>
              <w:t>(In ETB)</w:t>
            </w:r>
            <w:r w:rsidR="00CE4FCD" w:rsidRPr="000C0EBB">
              <w:rPr>
                <w:rFonts w:ascii="Garamond" w:hAnsi="Garamond"/>
                <w:color w:val="000000"/>
                <w:sz w:val="18"/>
                <w:szCs w:val="18"/>
              </w:rPr>
              <w:t xml:space="preserve">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215"/>
        </w:trPr>
        <w:tc>
          <w:tcPr>
            <w:tcW w:w="720"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B050"/>
                <w:sz w:val="18"/>
                <w:szCs w:val="18"/>
              </w:rPr>
            </w:pPr>
          </w:p>
        </w:tc>
        <w:tc>
          <w:tcPr>
            <w:tcW w:w="2562" w:type="dxa"/>
            <w:vMerge/>
            <w:tcBorders>
              <w:top w:val="nil"/>
              <w:left w:val="single" w:sz="4" w:space="0" w:color="auto"/>
              <w:bottom w:val="single" w:sz="4" w:space="0" w:color="000000"/>
              <w:right w:val="single" w:sz="4" w:space="0" w:color="auto"/>
            </w:tcBorders>
            <w:vAlign w:val="center"/>
            <w:hideMark/>
          </w:tcPr>
          <w:p w:rsidR="00CE4FCD" w:rsidRPr="00F2489D" w:rsidRDefault="00CE4FCD" w:rsidP="00171CF3">
            <w:pPr>
              <w:spacing w:after="0" w:line="240" w:lineRule="auto"/>
              <w:rPr>
                <w:rFonts w:ascii="Garamond" w:hAnsi="Garamond"/>
                <w:b/>
                <w:bCs/>
                <w:color w:val="00B050"/>
                <w:sz w:val="18"/>
                <w:szCs w:val="18"/>
              </w:rPr>
            </w:pPr>
          </w:p>
        </w:tc>
        <w:tc>
          <w:tcPr>
            <w:tcW w:w="2183" w:type="dxa"/>
            <w:tcBorders>
              <w:top w:val="nil"/>
              <w:left w:val="nil"/>
              <w:bottom w:val="single" w:sz="4" w:space="0" w:color="auto"/>
              <w:right w:val="single" w:sz="4" w:space="0" w:color="auto"/>
            </w:tcBorders>
            <w:shd w:val="clear" w:color="auto" w:fill="C5E0B3" w:themeFill="accent6" w:themeFillTint="66"/>
            <w:noWrap/>
            <w:hideMark/>
          </w:tcPr>
          <w:p w:rsidR="00CE4FCD" w:rsidRPr="000C0EBB" w:rsidRDefault="00CE4FCD" w:rsidP="004F5B5F">
            <w:pPr>
              <w:spacing w:after="0" w:line="240" w:lineRule="auto"/>
              <w:rPr>
                <w:rFonts w:ascii="Garamond" w:hAnsi="Garamond"/>
                <w:color w:val="000000"/>
                <w:sz w:val="18"/>
                <w:szCs w:val="18"/>
              </w:rPr>
            </w:pPr>
            <w:r w:rsidRPr="000C0EBB">
              <w:rPr>
                <w:rFonts w:ascii="Garamond" w:hAnsi="Garamond"/>
                <w:color w:val="000000"/>
                <w:sz w:val="18"/>
                <w:szCs w:val="18"/>
              </w:rPr>
              <w:t xml:space="preserve">Number of </w:t>
            </w:r>
            <w:r w:rsidR="004F5B5F">
              <w:rPr>
                <w:rFonts w:ascii="Garamond" w:hAnsi="Garamond"/>
                <w:color w:val="000000"/>
                <w:sz w:val="18"/>
                <w:szCs w:val="18"/>
              </w:rPr>
              <w:t>jobs created through SMEs</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31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2562" w:type="dxa"/>
            <w:tcBorders>
              <w:top w:val="nil"/>
              <w:left w:val="nil"/>
              <w:bottom w:val="single" w:sz="4" w:space="0" w:color="auto"/>
              <w:right w:val="single" w:sz="4" w:space="0" w:color="auto"/>
            </w:tcBorders>
            <w:shd w:val="clear" w:color="auto" w:fill="auto"/>
            <w:noWrap/>
            <w:vAlign w:val="center"/>
            <w:hideMark/>
          </w:tcPr>
          <w:p w:rsidR="00CE4FCD" w:rsidRPr="00F2489D" w:rsidRDefault="00CE4FCD" w:rsidP="00171CF3">
            <w:pPr>
              <w:spacing w:after="0" w:line="240" w:lineRule="auto"/>
              <w:rPr>
                <w:rFonts w:ascii="Garamond" w:hAnsi="Garamond"/>
                <w:b/>
                <w:bCs/>
                <w:color w:val="000000"/>
                <w:sz w:val="18"/>
                <w:szCs w:val="18"/>
              </w:rPr>
            </w:pPr>
            <w:r w:rsidRPr="00F2489D">
              <w:rPr>
                <w:rFonts w:ascii="Garamond" w:hAnsi="Garamond"/>
                <w:b/>
                <w:bCs/>
                <w:color w:val="000000"/>
                <w:sz w:val="18"/>
                <w:szCs w:val="18"/>
              </w:rPr>
              <w:t>Key interventions: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0C0EBB" w:rsidRDefault="00CE4FCD" w:rsidP="00171CF3">
            <w:pPr>
              <w:spacing w:after="0" w:line="240" w:lineRule="auto"/>
              <w:rPr>
                <w:rFonts w:ascii="Garamond" w:hAnsi="Garamond"/>
                <w:color w:val="000000"/>
                <w:sz w:val="18"/>
                <w:szCs w:val="18"/>
              </w:rPr>
            </w:pPr>
            <w:r w:rsidRPr="000C0EBB">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E4FCD" w:rsidRPr="00F2489D" w:rsidRDefault="00CE4FCD" w:rsidP="00171CF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E4FCD" w:rsidRPr="00F2489D" w:rsidTr="00441C11">
        <w:trPr>
          <w:trHeight w:val="557"/>
        </w:trPr>
        <w:tc>
          <w:tcPr>
            <w:tcW w:w="720" w:type="dxa"/>
            <w:tcBorders>
              <w:top w:val="nil"/>
              <w:left w:val="single" w:sz="4" w:space="0" w:color="auto"/>
              <w:bottom w:val="single" w:sz="4" w:space="0" w:color="auto"/>
              <w:right w:val="single" w:sz="4" w:space="0" w:color="auto"/>
            </w:tcBorders>
            <w:shd w:val="clear" w:color="auto" w:fill="auto"/>
            <w:hideMark/>
          </w:tcPr>
          <w:p w:rsidR="00CE4FCD" w:rsidRPr="00F2489D" w:rsidRDefault="00886CCC" w:rsidP="00886CCC">
            <w:pPr>
              <w:spacing w:after="0" w:line="240" w:lineRule="auto"/>
              <w:rPr>
                <w:rFonts w:ascii="Garamond" w:hAnsi="Garamond"/>
                <w:color w:val="000000"/>
                <w:sz w:val="18"/>
                <w:szCs w:val="18"/>
              </w:rPr>
            </w:pPr>
            <w:r>
              <w:rPr>
                <w:rFonts w:ascii="Garamond" w:hAnsi="Garamond"/>
                <w:color w:val="000000"/>
                <w:sz w:val="18"/>
                <w:szCs w:val="18"/>
              </w:rPr>
              <w:lastRenderedPageBreak/>
              <w:t>5</w:t>
            </w:r>
            <w:r w:rsidR="00CE4FCD" w:rsidRPr="00F2489D">
              <w:rPr>
                <w:rFonts w:ascii="Garamond" w:hAnsi="Garamond"/>
                <w:color w:val="000000"/>
                <w:sz w:val="18"/>
                <w:szCs w:val="18"/>
              </w:rPr>
              <w:t>.4.1  </w:t>
            </w:r>
          </w:p>
        </w:tc>
        <w:tc>
          <w:tcPr>
            <w:tcW w:w="2562" w:type="dxa"/>
            <w:tcBorders>
              <w:top w:val="nil"/>
              <w:left w:val="nil"/>
              <w:bottom w:val="single" w:sz="4" w:space="0" w:color="auto"/>
              <w:right w:val="single" w:sz="4" w:space="0" w:color="auto"/>
            </w:tcBorders>
            <w:shd w:val="clear" w:color="auto" w:fill="auto"/>
            <w:hideMark/>
          </w:tcPr>
          <w:p w:rsidR="00CE4FCD" w:rsidRPr="00F2489D" w:rsidRDefault="00AE24B9" w:rsidP="00697FBE">
            <w:pPr>
              <w:spacing w:after="0" w:line="240" w:lineRule="auto"/>
              <w:jc w:val="both"/>
              <w:rPr>
                <w:rFonts w:ascii="Garamond" w:hAnsi="Garamond"/>
                <w:color w:val="000000"/>
                <w:sz w:val="18"/>
                <w:szCs w:val="18"/>
              </w:rPr>
            </w:pPr>
            <w:r>
              <w:rPr>
                <w:rFonts w:ascii="Garamond" w:hAnsi="Garamond"/>
                <w:color w:val="000000"/>
                <w:sz w:val="18"/>
                <w:szCs w:val="18"/>
              </w:rPr>
              <w:t>E</w:t>
            </w:r>
            <w:r w:rsidR="00CE4FCD" w:rsidRPr="00F2489D">
              <w:rPr>
                <w:rFonts w:ascii="Garamond" w:hAnsi="Garamond"/>
                <w:color w:val="000000"/>
                <w:sz w:val="18"/>
                <w:szCs w:val="18"/>
              </w:rPr>
              <w:t>ncourage job creation through expansion o</w:t>
            </w:r>
            <w:r w:rsidR="00DD6D3C">
              <w:rPr>
                <w:rFonts w:ascii="Garamond" w:hAnsi="Garamond"/>
                <w:color w:val="000000"/>
                <w:sz w:val="18"/>
                <w:szCs w:val="18"/>
              </w:rPr>
              <w:t>f small and medium enterprises</w:t>
            </w:r>
          </w:p>
        </w:tc>
        <w:tc>
          <w:tcPr>
            <w:tcW w:w="2183" w:type="dxa"/>
            <w:tcBorders>
              <w:top w:val="nil"/>
              <w:left w:val="nil"/>
              <w:bottom w:val="single" w:sz="4" w:space="0" w:color="auto"/>
              <w:right w:val="single" w:sz="4" w:space="0" w:color="auto"/>
            </w:tcBorders>
            <w:shd w:val="clear" w:color="auto" w:fill="auto"/>
            <w:noWrap/>
            <w:vAlign w:val="bottom"/>
            <w:hideMark/>
          </w:tcPr>
          <w:p w:rsidR="00CE4FCD" w:rsidRPr="000C0EBB" w:rsidRDefault="00CE4FCD" w:rsidP="00171CF3">
            <w:pPr>
              <w:spacing w:after="0" w:line="240" w:lineRule="auto"/>
              <w:rPr>
                <w:rFonts w:ascii="Garamond" w:hAnsi="Garamond"/>
                <w:color w:val="000000"/>
                <w:sz w:val="18"/>
                <w:szCs w:val="18"/>
              </w:rPr>
            </w:pPr>
            <w:r w:rsidRPr="000C0EBB">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576" w:type="dxa"/>
            <w:tcBorders>
              <w:top w:val="nil"/>
              <w:left w:val="nil"/>
              <w:bottom w:val="single" w:sz="4" w:space="0" w:color="auto"/>
              <w:right w:val="single" w:sz="4" w:space="0" w:color="auto"/>
            </w:tcBorders>
            <w:shd w:val="clear" w:color="000000" w:fill="00B0F0"/>
            <w:noWrap/>
            <w:vAlign w:val="bottom"/>
            <w:hideMark/>
          </w:tcPr>
          <w:p w:rsidR="00CE4FCD" w:rsidRPr="00F2489D" w:rsidRDefault="00CE4FCD" w:rsidP="00171CF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1710" w:type="dxa"/>
            <w:tcBorders>
              <w:top w:val="nil"/>
              <w:left w:val="nil"/>
              <w:bottom w:val="single" w:sz="4" w:space="0" w:color="auto"/>
              <w:right w:val="single" w:sz="4" w:space="0" w:color="auto"/>
            </w:tcBorders>
            <w:shd w:val="clear" w:color="auto" w:fill="auto"/>
            <w:hideMark/>
          </w:tcPr>
          <w:p w:rsidR="00CE4FCD" w:rsidRPr="00F2489D" w:rsidRDefault="00783011" w:rsidP="00171CF3">
            <w:pPr>
              <w:spacing w:after="0" w:line="240" w:lineRule="auto"/>
              <w:rPr>
                <w:rFonts w:ascii="Garamond" w:hAnsi="Garamond"/>
                <w:color w:val="000000"/>
                <w:sz w:val="18"/>
                <w:szCs w:val="18"/>
              </w:rPr>
            </w:pPr>
            <w:r w:rsidRPr="00F2489D">
              <w:rPr>
                <w:rFonts w:ascii="Garamond" w:hAnsi="Garamond"/>
                <w:color w:val="000000"/>
                <w:sz w:val="18"/>
                <w:szCs w:val="18"/>
              </w:rPr>
              <w:t>MoLSA</w:t>
            </w:r>
            <w:r>
              <w:rPr>
                <w:rFonts w:ascii="Garamond" w:hAnsi="Garamond"/>
                <w:color w:val="000000"/>
                <w:sz w:val="18"/>
                <w:szCs w:val="18"/>
              </w:rPr>
              <w:t>,</w:t>
            </w:r>
            <w:r w:rsidRPr="00F2489D">
              <w:rPr>
                <w:rFonts w:ascii="Garamond" w:hAnsi="Garamond"/>
                <w:color w:val="000000"/>
                <w:sz w:val="18"/>
                <w:szCs w:val="18"/>
              </w:rPr>
              <w:t xml:space="preserve"> </w:t>
            </w:r>
            <w:r w:rsidR="00CE4FCD" w:rsidRPr="00F2489D">
              <w:rPr>
                <w:rFonts w:ascii="Garamond" w:hAnsi="Garamond"/>
                <w:color w:val="000000"/>
                <w:sz w:val="18"/>
                <w:szCs w:val="18"/>
              </w:rPr>
              <w:t>FeSMEDA, MoI, DPs</w:t>
            </w:r>
          </w:p>
        </w:tc>
        <w:tc>
          <w:tcPr>
            <w:tcW w:w="864" w:type="dxa"/>
            <w:gridSpan w:val="2"/>
            <w:tcBorders>
              <w:top w:val="nil"/>
              <w:left w:val="nil"/>
              <w:bottom w:val="single" w:sz="4" w:space="0" w:color="auto"/>
              <w:right w:val="single" w:sz="4" w:space="0" w:color="auto"/>
            </w:tcBorders>
          </w:tcPr>
          <w:p w:rsidR="00CE4FCD" w:rsidRPr="00F2489D" w:rsidRDefault="00CE4FCD" w:rsidP="00171CF3">
            <w:pPr>
              <w:spacing w:after="0" w:line="240" w:lineRule="auto"/>
              <w:rPr>
                <w:rFonts w:ascii="Garamond" w:hAnsi="Garamond"/>
                <w:color w:val="000000"/>
                <w:sz w:val="18"/>
                <w:szCs w:val="18"/>
              </w:rPr>
            </w:pPr>
          </w:p>
        </w:tc>
      </w:tr>
      <w:tr w:rsidR="00C44C73" w:rsidRPr="00F2489D" w:rsidTr="00441C11">
        <w:trPr>
          <w:trHeight w:val="382"/>
        </w:trPr>
        <w:tc>
          <w:tcPr>
            <w:tcW w:w="720" w:type="dxa"/>
            <w:tcBorders>
              <w:top w:val="nil"/>
              <w:left w:val="single" w:sz="4" w:space="0" w:color="auto"/>
              <w:bottom w:val="single" w:sz="4" w:space="0" w:color="auto"/>
              <w:right w:val="single" w:sz="4" w:space="0" w:color="auto"/>
            </w:tcBorders>
            <w:shd w:val="clear" w:color="auto" w:fill="auto"/>
            <w:hideMark/>
          </w:tcPr>
          <w:p w:rsidR="00C44C73" w:rsidRPr="00F2489D" w:rsidRDefault="00C44C73" w:rsidP="00C44C73">
            <w:pPr>
              <w:spacing w:after="0" w:line="240" w:lineRule="auto"/>
              <w:rPr>
                <w:rFonts w:ascii="Garamond" w:hAnsi="Garamond"/>
                <w:color w:val="000000"/>
                <w:sz w:val="18"/>
                <w:szCs w:val="18"/>
              </w:rPr>
            </w:pPr>
            <w:r>
              <w:rPr>
                <w:rFonts w:ascii="Garamond" w:hAnsi="Garamond"/>
                <w:color w:val="000000"/>
                <w:sz w:val="18"/>
                <w:szCs w:val="18"/>
              </w:rPr>
              <w:t>5</w:t>
            </w:r>
            <w:r w:rsidRPr="00F2489D">
              <w:rPr>
                <w:rFonts w:ascii="Garamond" w:hAnsi="Garamond"/>
                <w:color w:val="000000"/>
                <w:sz w:val="18"/>
                <w:szCs w:val="18"/>
              </w:rPr>
              <w:t>.4.2 </w:t>
            </w:r>
          </w:p>
        </w:tc>
        <w:tc>
          <w:tcPr>
            <w:tcW w:w="2562" w:type="dxa"/>
            <w:tcBorders>
              <w:top w:val="nil"/>
              <w:left w:val="nil"/>
              <w:bottom w:val="single" w:sz="4" w:space="0" w:color="auto"/>
              <w:right w:val="single" w:sz="4" w:space="0" w:color="auto"/>
            </w:tcBorders>
            <w:shd w:val="clear" w:color="auto" w:fill="auto"/>
          </w:tcPr>
          <w:p w:rsidR="00C44C73" w:rsidRPr="00F2489D" w:rsidRDefault="00441C11" w:rsidP="00441C11">
            <w:pPr>
              <w:spacing w:after="0" w:line="240" w:lineRule="auto"/>
              <w:jc w:val="both"/>
              <w:rPr>
                <w:rFonts w:ascii="Garamond" w:hAnsi="Garamond"/>
                <w:color w:val="000000"/>
                <w:sz w:val="18"/>
                <w:szCs w:val="18"/>
              </w:rPr>
            </w:pPr>
            <w:r>
              <w:rPr>
                <w:rFonts w:ascii="Garamond" w:hAnsi="Garamond"/>
                <w:color w:val="000000"/>
                <w:sz w:val="18"/>
                <w:szCs w:val="18"/>
              </w:rPr>
              <w:t xml:space="preserve">Establish a SMEs bank to ease their financial constraints </w:t>
            </w:r>
          </w:p>
        </w:tc>
        <w:tc>
          <w:tcPr>
            <w:tcW w:w="2183" w:type="dxa"/>
            <w:tcBorders>
              <w:top w:val="nil"/>
              <w:left w:val="nil"/>
              <w:bottom w:val="single" w:sz="4" w:space="0" w:color="auto"/>
              <w:right w:val="single" w:sz="4" w:space="0" w:color="auto"/>
            </w:tcBorders>
            <w:shd w:val="clear" w:color="auto" w:fill="auto"/>
            <w:noWrap/>
            <w:vAlign w:val="bottom"/>
            <w:hideMark/>
          </w:tcPr>
          <w:p w:rsidR="00C44C73" w:rsidRPr="00F2489D" w:rsidRDefault="00C44C73" w:rsidP="00C44C7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44C73" w:rsidRPr="00F2489D" w:rsidRDefault="00C44C73" w:rsidP="00C44C7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44C73" w:rsidRPr="00F2489D" w:rsidRDefault="00C44C73" w:rsidP="00C44C7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44C73" w:rsidRPr="00F2489D" w:rsidRDefault="00C44C73" w:rsidP="00C44C7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44C73" w:rsidRPr="00F2489D" w:rsidRDefault="00C44C73" w:rsidP="00C44C7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vAlign w:val="bottom"/>
            <w:hideMark/>
          </w:tcPr>
          <w:p w:rsidR="00C44C73" w:rsidRPr="00F2489D" w:rsidRDefault="00783011" w:rsidP="00783011">
            <w:pPr>
              <w:spacing w:after="0" w:line="240" w:lineRule="auto"/>
              <w:rPr>
                <w:rFonts w:ascii="Garamond" w:hAnsi="Garamond"/>
                <w:color w:val="000000"/>
                <w:sz w:val="18"/>
                <w:szCs w:val="18"/>
              </w:rPr>
            </w:pPr>
            <w:r w:rsidRPr="00F2489D">
              <w:rPr>
                <w:rFonts w:ascii="Garamond" w:hAnsi="Garamond"/>
                <w:color w:val="000000"/>
                <w:sz w:val="18"/>
                <w:szCs w:val="18"/>
              </w:rPr>
              <w:t>FeSMEDA</w:t>
            </w:r>
            <w:r w:rsidR="00C44C73" w:rsidRPr="00F2489D">
              <w:rPr>
                <w:rFonts w:ascii="Garamond" w:hAnsi="Garamond"/>
                <w:color w:val="000000"/>
                <w:sz w:val="18"/>
                <w:szCs w:val="18"/>
              </w:rPr>
              <w:t xml:space="preserve">, </w:t>
            </w:r>
            <w:r>
              <w:rPr>
                <w:rFonts w:ascii="Garamond" w:hAnsi="Garamond"/>
                <w:color w:val="000000"/>
                <w:sz w:val="18"/>
                <w:szCs w:val="18"/>
              </w:rPr>
              <w:t>M</w:t>
            </w:r>
            <w:r w:rsidR="00C44C73" w:rsidRPr="00F2489D">
              <w:rPr>
                <w:rFonts w:ascii="Garamond" w:hAnsi="Garamond"/>
                <w:color w:val="000000"/>
                <w:sz w:val="18"/>
                <w:szCs w:val="18"/>
              </w:rPr>
              <w:t xml:space="preserve">oUDH, </w:t>
            </w:r>
            <w:r>
              <w:rPr>
                <w:rFonts w:ascii="Garamond" w:hAnsi="Garamond"/>
                <w:color w:val="000000"/>
                <w:sz w:val="18"/>
                <w:szCs w:val="18"/>
              </w:rPr>
              <w:t>NBE, DPs</w:t>
            </w:r>
          </w:p>
        </w:tc>
        <w:tc>
          <w:tcPr>
            <w:tcW w:w="864" w:type="dxa"/>
            <w:gridSpan w:val="2"/>
            <w:tcBorders>
              <w:top w:val="nil"/>
              <w:left w:val="nil"/>
              <w:bottom w:val="single" w:sz="4" w:space="0" w:color="auto"/>
              <w:right w:val="single" w:sz="4" w:space="0" w:color="auto"/>
            </w:tcBorders>
          </w:tcPr>
          <w:p w:rsidR="00C44C73" w:rsidRPr="00F2489D" w:rsidRDefault="00C44C73" w:rsidP="00C44C73">
            <w:pPr>
              <w:spacing w:after="0" w:line="240" w:lineRule="auto"/>
              <w:rPr>
                <w:rFonts w:ascii="Garamond" w:hAnsi="Garamond"/>
                <w:color w:val="000000"/>
                <w:sz w:val="18"/>
                <w:szCs w:val="18"/>
              </w:rPr>
            </w:pPr>
          </w:p>
        </w:tc>
      </w:tr>
      <w:tr w:rsidR="00C44C73" w:rsidRPr="00F2489D" w:rsidTr="00441C11">
        <w:trPr>
          <w:trHeight w:val="337"/>
        </w:trPr>
        <w:tc>
          <w:tcPr>
            <w:tcW w:w="720" w:type="dxa"/>
            <w:tcBorders>
              <w:top w:val="nil"/>
              <w:left w:val="single" w:sz="4" w:space="0" w:color="auto"/>
              <w:bottom w:val="single" w:sz="4" w:space="0" w:color="auto"/>
              <w:right w:val="single" w:sz="4" w:space="0" w:color="auto"/>
            </w:tcBorders>
            <w:shd w:val="clear" w:color="auto" w:fill="auto"/>
            <w:hideMark/>
          </w:tcPr>
          <w:p w:rsidR="00C44C73" w:rsidRPr="00F2489D" w:rsidRDefault="00C44C73" w:rsidP="00C44C73">
            <w:pPr>
              <w:spacing w:after="0" w:line="240" w:lineRule="auto"/>
              <w:rPr>
                <w:rFonts w:ascii="Garamond" w:hAnsi="Garamond"/>
                <w:color w:val="000000"/>
                <w:sz w:val="18"/>
                <w:szCs w:val="18"/>
              </w:rPr>
            </w:pPr>
            <w:r>
              <w:rPr>
                <w:rFonts w:ascii="Garamond" w:hAnsi="Garamond"/>
                <w:color w:val="000000"/>
                <w:sz w:val="18"/>
                <w:szCs w:val="18"/>
              </w:rPr>
              <w:t>5</w:t>
            </w:r>
            <w:r w:rsidRPr="00F2489D">
              <w:rPr>
                <w:rFonts w:ascii="Garamond" w:hAnsi="Garamond"/>
                <w:color w:val="000000"/>
                <w:sz w:val="18"/>
                <w:szCs w:val="18"/>
              </w:rPr>
              <w:t>.4.3    </w:t>
            </w:r>
          </w:p>
        </w:tc>
        <w:tc>
          <w:tcPr>
            <w:tcW w:w="2562" w:type="dxa"/>
            <w:tcBorders>
              <w:top w:val="nil"/>
              <w:left w:val="nil"/>
              <w:bottom w:val="single" w:sz="4" w:space="0" w:color="auto"/>
              <w:right w:val="single" w:sz="4" w:space="0" w:color="auto"/>
            </w:tcBorders>
            <w:shd w:val="clear" w:color="auto" w:fill="auto"/>
          </w:tcPr>
          <w:p w:rsidR="00C44C73" w:rsidRPr="00F2489D" w:rsidRDefault="00C44C73" w:rsidP="00C44C73">
            <w:pPr>
              <w:spacing w:after="0" w:line="240" w:lineRule="auto"/>
              <w:jc w:val="both"/>
              <w:rPr>
                <w:rFonts w:ascii="Garamond" w:hAnsi="Garamond"/>
                <w:color w:val="000000"/>
                <w:sz w:val="18"/>
                <w:szCs w:val="18"/>
              </w:rPr>
            </w:pPr>
            <w:r w:rsidRPr="008658A4">
              <w:rPr>
                <w:rFonts w:ascii="Garamond" w:hAnsi="Garamond"/>
                <w:sz w:val="18"/>
                <w:szCs w:val="18"/>
              </w:rPr>
              <w:t>Establish standardized one stop service centres for SMEs</w:t>
            </w:r>
          </w:p>
        </w:tc>
        <w:tc>
          <w:tcPr>
            <w:tcW w:w="2183" w:type="dxa"/>
            <w:tcBorders>
              <w:top w:val="nil"/>
              <w:left w:val="nil"/>
              <w:bottom w:val="single" w:sz="4" w:space="0" w:color="auto"/>
              <w:right w:val="single" w:sz="4" w:space="0" w:color="auto"/>
            </w:tcBorders>
            <w:shd w:val="clear" w:color="auto" w:fill="auto"/>
            <w:noWrap/>
            <w:vAlign w:val="bottom"/>
            <w:hideMark/>
          </w:tcPr>
          <w:p w:rsidR="00C44C73" w:rsidRPr="00F2489D" w:rsidRDefault="00C44C73" w:rsidP="00C44C7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44C73" w:rsidRPr="00F2489D" w:rsidRDefault="00C44C73" w:rsidP="00C44C7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000000" w:fill="00B0F0"/>
            <w:noWrap/>
            <w:vAlign w:val="bottom"/>
            <w:hideMark/>
          </w:tcPr>
          <w:p w:rsidR="00C44C73" w:rsidRPr="00F2489D" w:rsidRDefault="00C44C73" w:rsidP="00C44C73">
            <w:pPr>
              <w:spacing w:after="0" w:line="240" w:lineRule="auto"/>
              <w:rPr>
                <w:rFonts w:ascii="Garamond" w:hAnsi="Garamond"/>
                <w:color w:val="000000"/>
                <w:sz w:val="18"/>
                <w:szCs w:val="18"/>
              </w:rPr>
            </w:pPr>
            <w:r w:rsidRPr="00F2489D">
              <w:rPr>
                <w:rFonts w:ascii="Garamond" w:hAnsi="Garamond"/>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rsidR="00C44C73" w:rsidRPr="00F2489D" w:rsidRDefault="00C44C73" w:rsidP="00C44C7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C44C73" w:rsidRPr="00F2489D" w:rsidRDefault="00C44C73" w:rsidP="00C44C73">
            <w:pPr>
              <w:spacing w:after="0" w:line="240" w:lineRule="auto"/>
              <w:rPr>
                <w:rFonts w:ascii="Garamond" w:hAnsi="Garamond"/>
                <w:color w:val="00B050"/>
                <w:sz w:val="18"/>
                <w:szCs w:val="18"/>
              </w:rPr>
            </w:pPr>
            <w:r w:rsidRPr="00F2489D">
              <w:rPr>
                <w:rFonts w:ascii="Garamond" w:hAnsi="Garamond"/>
                <w:color w:val="00B050"/>
                <w:sz w:val="18"/>
                <w:szCs w:val="18"/>
              </w:rPr>
              <w:t> </w:t>
            </w:r>
          </w:p>
        </w:tc>
        <w:tc>
          <w:tcPr>
            <w:tcW w:w="1710" w:type="dxa"/>
            <w:tcBorders>
              <w:top w:val="nil"/>
              <w:left w:val="nil"/>
              <w:bottom w:val="single" w:sz="4" w:space="0" w:color="auto"/>
              <w:right w:val="single" w:sz="4" w:space="0" w:color="auto"/>
            </w:tcBorders>
            <w:shd w:val="clear" w:color="auto" w:fill="auto"/>
            <w:hideMark/>
          </w:tcPr>
          <w:p w:rsidR="00C44C73" w:rsidRPr="00F2489D" w:rsidRDefault="00783011" w:rsidP="00783011">
            <w:pPr>
              <w:spacing w:after="0" w:line="240" w:lineRule="auto"/>
              <w:rPr>
                <w:rFonts w:ascii="Garamond" w:hAnsi="Garamond"/>
                <w:color w:val="000000"/>
                <w:sz w:val="18"/>
                <w:szCs w:val="18"/>
              </w:rPr>
            </w:pPr>
            <w:r w:rsidRPr="00F2489D">
              <w:rPr>
                <w:rFonts w:ascii="Garamond" w:hAnsi="Garamond"/>
                <w:color w:val="000000"/>
                <w:sz w:val="18"/>
                <w:szCs w:val="18"/>
              </w:rPr>
              <w:t>FeSMEDA</w:t>
            </w:r>
            <w:r w:rsidR="00C44C73" w:rsidRPr="00F2489D">
              <w:rPr>
                <w:rFonts w:ascii="Garamond" w:hAnsi="Garamond"/>
                <w:color w:val="000000"/>
                <w:sz w:val="18"/>
                <w:szCs w:val="18"/>
              </w:rPr>
              <w:t xml:space="preserve">, </w:t>
            </w:r>
            <w:r>
              <w:rPr>
                <w:rFonts w:ascii="Garamond" w:hAnsi="Garamond"/>
                <w:color w:val="000000"/>
                <w:sz w:val="18"/>
                <w:szCs w:val="18"/>
              </w:rPr>
              <w:t>MoI, M</w:t>
            </w:r>
            <w:r w:rsidRPr="00F2489D">
              <w:rPr>
                <w:rFonts w:ascii="Garamond" w:hAnsi="Garamond"/>
                <w:color w:val="000000"/>
                <w:sz w:val="18"/>
                <w:szCs w:val="18"/>
              </w:rPr>
              <w:t>oUDH</w:t>
            </w:r>
            <w:r>
              <w:rPr>
                <w:rFonts w:ascii="Garamond" w:hAnsi="Garamond"/>
                <w:color w:val="000000"/>
                <w:sz w:val="18"/>
                <w:szCs w:val="18"/>
              </w:rPr>
              <w:t>, DPs</w:t>
            </w:r>
          </w:p>
        </w:tc>
        <w:tc>
          <w:tcPr>
            <w:tcW w:w="864" w:type="dxa"/>
            <w:gridSpan w:val="2"/>
            <w:tcBorders>
              <w:top w:val="nil"/>
              <w:left w:val="nil"/>
              <w:bottom w:val="single" w:sz="4" w:space="0" w:color="auto"/>
              <w:right w:val="single" w:sz="4" w:space="0" w:color="auto"/>
            </w:tcBorders>
          </w:tcPr>
          <w:p w:rsidR="00C44C73" w:rsidRPr="00F2489D" w:rsidRDefault="00C44C73" w:rsidP="00C44C73">
            <w:pPr>
              <w:spacing w:after="0" w:line="240" w:lineRule="auto"/>
              <w:rPr>
                <w:rFonts w:ascii="Garamond" w:hAnsi="Garamond"/>
                <w:color w:val="000000"/>
                <w:sz w:val="18"/>
                <w:szCs w:val="18"/>
              </w:rPr>
            </w:pPr>
          </w:p>
        </w:tc>
      </w:tr>
      <w:tr w:rsidR="00C44C73" w:rsidRPr="00F2489D" w:rsidTr="00441C11">
        <w:trPr>
          <w:trHeight w:val="450"/>
        </w:trPr>
        <w:tc>
          <w:tcPr>
            <w:tcW w:w="720" w:type="dxa"/>
            <w:tcBorders>
              <w:top w:val="nil"/>
              <w:left w:val="single" w:sz="4" w:space="0" w:color="auto"/>
              <w:bottom w:val="single" w:sz="4" w:space="0" w:color="auto"/>
              <w:right w:val="single" w:sz="4" w:space="0" w:color="auto"/>
            </w:tcBorders>
            <w:shd w:val="clear" w:color="auto" w:fill="auto"/>
          </w:tcPr>
          <w:p w:rsidR="00C44C73" w:rsidRDefault="00C44C73" w:rsidP="00C44C73">
            <w:pPr>
              <w:spacing w:after="0" w:line="240" w:lineRule="auto"/>
              <w:rPr>
                <w:rFonts w:ascii="Garamond" w:hAnsi="Garamond"/>
                <w:color w:val="000000"/>
                <w:sz w:val="18"/>
                <w:szCs w:val="18"/>
              </w:rPr>
            </w:pPr>
            <w:r>
              <w:rPr>
                <w:rFonts w:ascii="Garamond" w:hAnsi="Garamond"/>
                <w:color w:val="000000"/>
                <w:sz w:val="18"/>
                <w:szCs w:val="18"/>
              </w:rPr>
              <w:t>5.4.4</w:t>
            </w:r>
            <w:r w:rsidRPr="00F2489D">
              <w:rPr>
                <w:rFonts w:ascii="Garamond" w:hAnsi="Garamond"/>
                <w:color w:val="000000"/>
                <w:sz w:val="18"/>
                <w:szCs w:val="18"/>
              </w:rPr>
              <w:t>  </w:t>
            </w:r>
          </w:p>
        </w:tc>
        <w:tc>
          <w:tcPr>
            <w:tcW w:w="2562" w:type="dxa"/>
            <w:tcBorders>
              <w:top w:val="nil"/>
              <w:left w:val="nil"/>
              <w:bottom w:val="single" w:sz="4" w:space="0" w:color="auto"/>
              <w:right w:val="single" w:sz="4" w:space="0" w:color="auto"/>
            </w:tcBorders>
            <w:shd w:val="clear" w:color="auto" w:fill="auto"/>
          </w:tcPr>
          <w:p w:rsidR="00C44C73" w:rsidRPr="008658A4" w:rsidRDefault="00C44C73" w:rsidP="00C44C73">
            <w:pPr>
              <w:spacing w:after="0" w:line="240" w:lineRule="auto"/>
              <w:jc w:val="both"/>
              <w:rPr>
                <w:rFonts w:ascii="Garamond" w:hAnsi="Garamond"/>
                <w:sz w:val="18"/>
                <w:szCs w:val="18"/>
              </w:rPr>
            </w:pPr>
            <w:r w:rsidRPr="00FC64EF">
              <w:rPr>
                <w:rFonts w:ascii="Garamond" w:hAnsi="Garamond"/>
                <w:sz w:val="18"/>
                <w:szCs w:val="18"/>
              </w:rPr>
              <w:t xml:space="preserve">Provide </w:t>
            </w:r>
            <w:r>
              <w:rPr>
                <w:rFonts w:ascii="Garamond" w:hAnsi="Garamond"/>
                <w:sz w:val="18"/>
                <w:szCs w:val="18"/>
              </w:rPr>
              <w:t xml:space="preserve">continuous </w:t>
            </w:r>
            <w:r w:rsidRPr="00FC64EF">
              <w:rPr>
                <w:rFonts w:ascii="Garamond" w:hAnsi="Garamond"/>
                <w:sz w:val="18"/>
                <w:szCs w:val="18"/>
              </w:rPr>
              <w:t>extension service</w:t>
            </w:r>
            <w:r w:rsidR="001C0B4B">
              <w:rPr>
                <w:rFonts w:ascii="Garamond" w:hAnsi="Garamond"/>
                <w:sz w:val="18"/>
                <w:szCs w:val="18"/>
              </w:rPr>
              <w:t>s</w:t>
            </w:r>
            <w:r w:rsidRPr="00FC64EF">
              <w:rPr>
                <w:rFonts w:ascii="Garamond" w:hAnsi="Garamond"/>
                <w:sz w:val="18"/>
                <w:szCs w:val="18"/>
              </w:rPr>
              <w:t>, training on basic entrepreneurial skill and outlook and training of trainers on business development services</w:t>
            </w:r>
          </w:p>
        </w:tc>
        <w:tc>
          <w:tcPr>
            <w:tcW w:w="2183" w:type="dxa"/>
            <w:tcBorders>
              <w:top w:val="nil"/>
              <w:left w:val="nil"/>
              <w:bottom w:val="single" w:sz="4" w:space="0" w:color="auto"/>
              <w:right w:val="single" w:sz="4" w:space="0" w:color="auto"/>
            </w:tcBorders>
            <w:shd w:val="clear" w:color="auto" w:fill="auto"/>
            <w:noWrap/>
            <w:vAlign w:val="bottom"/>
          </w:tcPr>
          <w:p w:rsidR="00C44C73" w:rsidRPr="00F2489D" w:rsidRDefault="00C44C73" w:rsidP="00C44C73">
            <w:pPr>
              <w:spacing w:after="0" w:line="240" w:lineRule="auto"/>
              <w:rPr>
                <w:rFonts w:ascii="Garamond" w:hAnsi="Garamond"/>
                <w:color w:val="00B050"/>
                <w:sz w:val="18"/>
                <w:szCs w:val="18"/>
              </w:rPr>
            </w:pPr>
          </w:p>
        </w:tc>
        <w:tc>
          <w:tcPr>
            <w:tcW w:w="630" w:type="dxa"/>
            <w:tcBorders>
              <w:top w:val="nil"/>
              <w:left w:val="nil"/>
              <w:bottom w:val="single" w:sz="4" w:space="0" w:color="auto"/>
              <w:right w:val="single" w:sz="4" w:space="0" w:color="auto"/>
            </w:tcBorders>
            <w:shd w:val="clear" w:color="000000" w:fill="00B0F0"/>
            <w:noWrap/>
            <w:vAlign w:val="bottom"/>
          </w:tcPr>
          <w:p w:rsidR="00C44C73" w:rsidRPr="00F2489D" w:rsidRDefault="00C44C73" w:rsidP="00C44C7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000000" w:fill="00B0F0"/>
            <w:noWrap/>
            <w:vAlign w:val="bottom"/>
          </w:tcPr>
          <w:p w:rsidR="00C44C73" w:rsidRPr="00F2489D" w:rsidRDefault="00C44C73" w:rsidP="00C44C73">
            <w:pPr>
              <w:spacing w:after="0" w:line="240" w:lineRule="auto"/>
              <w:rPr>
                <w:rFonts w:ascii="Garamond" w:hAnsi="Garamond"/>
                <w:color w:val="000000"/>
                <w:sz w:val="18"/>
                <w:szCs w:val="18"/>
              </w:rPr>
            </w:pPr>
          </w:p>
        </w:tc>
        <w:tc>
          <w:tcPr>
            <w:tcW w:w="630" w:type="dxa"/>
            <w:tcBorders>
              <w:top w:val="nil"/>
              <w:left w:val="nil"/>
              <w:bottom w:val="single" w:sz="4" w:space="0" w:color="auto"/>
              <w:right w:val="single" w:sz="4" w:space="0" w:color="auto"/>
            </w:tcBorders>
            <w:shd w:val="clear" w:color="auto" w:fill="auto"/>
            <w:noWrap/>
            <w:vAlign w:val="bottom"/>
          </w:tcPr>
          <w:p w:rsidR="00C44C73" w:rsidRPr="00F2489D" w:rsidRDefault="00C44C73" w:rsidP="00C44C73">
            <w:pPr>
              <w:spacing w:after="0" w:line="240" w:lineRule="auto"/>
              <w:rPr>
                <w:rFonts w:ascii="Garamond" w:hAnsi="Garamond"/>
                <w:color w:val="00B050"/>
                <w:sz w:val="18"/>
                <w:szCs w:val="18"/>
              </w:rPr>
            </w:pPr>
          </w:p>
        </w:tc>
        <w:tc>
          <w:tcPr>
            <w:tcW w:w="576" w:type="dxa"/>
            <w:tcBorders>
              <w:top w:val="nil"/>
              <w:left w:val="nil"/>
              <w:bottom w:val="single" w:sz="4" w:space="0" w:color="auto"/>
              <w:right w:val="single" w:sz="4" w:space="0" w:color="auto"/>
            </w:tcBorders>
            <w:shd w:val="clear" w:color="auto" w:fill="auto"/>
            <w:noWrap/>
            <w:vAlign w:val="bottom"/>
          </w:tcPr>
          <w:p w:rsidR="00C44C73" w:rsidRPr="00F2489D" w:rsidRDefault="00C44C73" w:rsidP="00C44C73">
            <w:pPr>
              <w:spacing w:after="0" w:line="240" w:lineRule="auto"/>
              <w:rPr>
                <w:rFonts w:ascii="Garamond" w:hAnsi="Garamond"/>
                <w:color w:val="00B050"/>
                <w:sz w:val="18"/>
                <w:szCs w:val="18"/>
              </w:rPr>
            </w:pPr>
          </w:p>
        </w:tc>
        <w:tc>
          <w:tcPr>
            <w:tcW w:w="1710" w:type="dxa"/>
            <w:tcBorders>
              <w:top w:val="nil"/>
              <w:left w:val="nil"/>
              <w:bottom w:val="single" w:sz="4" w:space="0" w:color="auto"/>
              <w:right w:val="single" w:sz="4" w:space="0" w:color="auto"/>
            </w:tcBorders>
            <w:shd w:val="clear" w:color="auto" w:fill="auto"/>
          </w:tcPr>
          <w:p w:rsidR="00C44C73" w:rsidRPr="00F2489D" w:rsidRDefault="00783011" w:rsidP="00C44C73">
            <w:pPr>
              <w:spacing w:after="0" w:line="240" w:lineRule="auto"/>
              <w:rPr>
                <w:rFonts w:ascii="Garamond" w:hAnsi="Garamond"/>
                <w:color w:val="000000"/>
                <w:sz w:val="18"/>
                <w:szCs w:val="18"/>
              </w:rPr>
            </w:pPr>
            <w:r w:rsidRPr="00F2489D">
              <w:rPr>
                <w:rFonts w:ascii="Garamond" w:hAnsi="Garamond"/>
                <w:color w:val="000000"/>
                <w:sz w:val="18"/>
                <w:szCs w:val="18"/>
              </w:rPr>
              <w:t xml:space="preserve">FeSMEDA, </w:t>
            </w:r>
            <w:r>
              <w:rPr>
                <w:rFonts w:ascii="Garamond" w:hAnsi="Garamond"/>
                <w:color w:val="000000"/>
                <w:sz w:val="18"/>
                <w:szCs w:val="18"/>
              </w:rPr>
              <w:t>MoI, M</w:t>
            </w:r>
            <w:r w:rsidRPr="00F2489D">
              <w:rPr>
                <w:rFonts w:ascii="Garamond" w:hAnsi="Garamond"/>
                <w:color w:val="000000"/>
                <w:sz w:val="18"/>
                <w:szCs w:val="18"/>
              </w:rPr>
              <w:t>oUDH</w:t>
            </w:r>
            <w:r>
              <w:rPr>
                <w:rFonts w:ascii="Garamond" w:hAnsi="Garamond"/>
                <w:color w:val="000000"/>
                <w:sz w:val="18"/>
                <w:szCs w:val="18"/>
              </w:rPr>
              <w:t>, DPs</w:t>
            </w:r>
          </w:p>
        </w:tc>
        <w:tc>
          <w:tcPr>
            <w:tcW w:w="864" w:type="dxa"/>
            <w:gridSpan w:val="2"/>
            <w:tcBorders>
              <w:top w:val="nil"/>
              <w:left w:val="nil"/>
              <w:bottom w:val="single" w:sz="4" w:space="0" w:color="auto"/>
              <w:right w:val="single" w:sz="4" w:space="0" w:color="auto"/>
            </w:tcBorders>
          </w:tcPr>
          <w:p w:rsidR="00C44C73" w:rsidRPr="00F2489D" w:rsidRDefault="00C44C73" w:rsidP="00C44C73">
            <w:pPr>
              <w:spacing w:after="0" w:line="240" w:lineRule="auto"/>
              <w:rPr>
                <w:rFonts w:ascii="Garamond" w:hAnsi="Garamond"/>
                <w:color w:val="000000"/>
                <w:sz w:val="18"/>
                <w:szCs w:val="18"/>
              </w:rPr>
            </w:pPr>
          </w:p>
        </w:tc>
      </w:tr>
      <w:tr w:rsidR="00C44C73" w:rsidRPr="00F2489D" w:rsidTr="00441C11">
        <w:trPr>
          <w:trHeight w:val="791"/>
        </w:trPr>
        <w:tc>
          <w:tcPr>
            <w:tcW w:w="720" w:type="dxa"/>
            <w:tcBorders>
              <w:top w:val="single" w:sz="4" w:space="0" w:color="auto"/>
              <w:left w:val="single" w:sz="4" w:space="0" w:color="auto"/>
              <w:bottom w:val="single" w:sz="4" w:space="0" w:color="auto"/>
              <w:right w:val="single" w:sz="4" w:space="0" w:color="auto"/>
            </w:tcBorders>
            <w:shd w:val="clear" w:color="auto" w:fill="auto"/>
          </w:tcPr>
          <w:p w:rsidR="00C44C73" w:rsidRDefault="00C44C73" w:rsidP="00C44C73">
            <w:pPr>
              <w:spacing w:after="0" w:line="240" w:lineRule="auto"/>
              <w:rPr>
                <w:rFonts w:ascii="Garamond" w:hAnsi="Garamond"/>
                <w:color w:val="000000"/>
                <w:sz w:val="18"/>
                <w:szCs w:val="18"/>
              </w:rPr>
            </w:pPr>
            <w:r>
              <w:rPr>
                <w:rFonts w:ascii="Garamond" w:hAnsi="Garamond"/>
                <w:color w:val="000000"/>
                <w:sz w:val="18"/>
                <w:szCs w:val="18"/>
              </w:rPr>
              <w:t>5</w:t>
            </w:r>
            <w:r w:rsidRPr="00F2489D">
              <w:rPr>
                <w:rFonts w:ascii="Garamond" w:hAnsi="Garamond"/>
                <w:color w:val="000000"/>
                <w:sz w:val="18"/>
                <w:szCs w:val="18"/>
              </w:rPr>
              <w:t>.4.</w:t>
            </w:r>
            <w:r>
              <w:rPr>
                <w:rFonts w:ascii="Garamond" w:hAnsi="Garamond"/>
                <w:color w:val="000000"/>
                <w:sz w:val="18"/>
                <w:szCs w:val="18"/>
              </w:rPr>
              <w:t>5</w:t>
            </w:r>
            <w:r w:rsidRPr="00F2489D">
              <w:rPr>
                <w:rFonts w:ascii="Garamond" w:hAnsi="Garamond"/>
                <w:color w:val="000000"/>
                <w:sz w:val="18"/>
                <w:szCs w:val="18"/>
              </w:rPr>
              <w:t>    </w:t>
            </w:r>
          </w:p>
        </w:tc>
        <w:tc>
          <w:tcPr>
            <w:tcW w:w="2562" w:type="dxa"/>
            <w:tcBorders>
              <w:top w:val="single" w:sz="4" w:space="0" w:color="auto"/>
              <w:left w:val="nil"/>
              <w:bottom w:val="single" w:sz="4" w:space="0" w:color="auto"/>
              <w:right w:val="single" w:sz="4" w:space="0" w:color="auto"/>
            </w:tcBorders>
            <w:shd w:val="clear" w:color="auto" w:fill="auto"/>
          </w:tcPr>
          <w:p w:rsidR="00C44C73" w:rsidRPr="00FC64EF" w:rsidRDefault="00C44C73" w:rsidP="00C44C73">
            <w:pPr>
              <w:spacing w:after="0" w:line="240" w:lineRule="auto"/>
              <w:jc w:val="both"/>
              <w:rPr>
                <w:rFonts w:ascii="Garamond" w:hAnsi="Garamond"/>
                <w:color w:val="000000"/>
                <w:sz w:val="18"/>
                <w:szCs w:val="18"/>
              </w:rPr>
            </w:pPr>
            <w:r w:rsidRPr="00F2489D">
              <w:rPr>
                <w:rFonts w:ascii="Garamond" w:hAnsi="Garamond"/>
                <w:color w:val="000000"/>
                <w:sz w:val="18"/>
                <w:szCs w:val="18"/>
              </w:rPr>
              <w:t>Enhance social protection and security through expanding t</w:t>
            </w:r>
            <w:r>
              <w:rPr>
                <w:rFonts w:ascii="Garamond" w:hAnsi="Garamond"/>
                <w:color w:val="000000"/>
                <w:sz w:val="18"/>
                <w:szCs w:val="18"/>
              </w:rPr>
              <w:t>he coverage of social security</w:t>
            </w:r>
          </w:p>
        </w:tc>
        <w:tc>
          <w:tcPr>
            <w:tcW w:w="2183" w:type="dxa"/>
            <w:tcBorders>
              <w:top w:val="single" w:sz="4" w:space="0" w:color="auto"/>
              <w:left w:val="nil"/>
              <w:bottom w:val="single" w:sz="4" w:space="0" w:color="auto"/>
              <w:right w:val="single" w:sz="4" w:space="0" w:color="auto"/>
            </w:tcBorders>
            <w:shd w:val="clear" w:color="auto" w:fill="auto"/>
            <w:noWrap/>
            <w:vAlign w:val="bottom"/>
          </w:tcPr>
          <w:p w:rsidR="00C44C73" w:rsidRPr="00F2489D" w:rsidRDefault="00C44C73" w:rsidP="00C44C73">
            <w:pPr>
              <w:spacing w:after="0" w:line="240" w:lineRule="auto"/>
              <w:rPr>
                <w:rFonts w:ascii="Garamond" w:hAnsi="Garamond"/>
                <w:color w:val="00B050"/>
                <w:sz w:val="18"/>
                <w:szCs w:val="18"/>
              </w:rPr>
            </w:pPr>
          </w:p>
        </w:tc>
        <w:tc>
          <w:tcPr>
            <w:tcW w:w="630" w:type="dxa"/>
            <w:tcBorders>
              <w:top w:val="single" w:sz="4" w:space="0" w:color="auto"/>
              <w:left w:val="nil"/>
              <w:bottom w:val="single" w:sz="4" w:space="0" w:color="auto"/>
              <w:right w:val="single" w:sz="4" w:space="0" w:color="auto"/>
            </w:tcBorders>
            <w:shd w:val="clear" w:color="000000" w:fill="00B0F0"/>
            <w:noWrap/>
            <w:vAlign w:val="bottom"/>
          </w:tcPr>
          <w:p w:rsidR="00C44C73" w:rsidRPr="00F2489D" w:rsidRDefault="00C44C73" w:rsidP="00C44C73">
            <w:pPr>
              <w:spacing w:after="0" w:line="240" w:lineRule="auto"/>
              <w:rPr>
                <w:rFonts w:ascii="Garamond" w:hAnsi="Garamond"/>
                <w:color w:val="000000"/>
                <w:sz w:val="18"/>
                <w:szCs w:val="18"/>
              </w:rPr>
            </w:pPr>
          </w:p>
        </w:tc>
        <w:tc>
          <w:tcPr>
            <w:tcW w:w="630" w:type="dxa"/>
            <w:tcBorders>
              <w:top w:val="single" w:sz="4" w:space="0" w:color="auto"/>
              <w:left w:val="nil"/>
              <w:bottom w:val="single" w:sz="4" w:space="0" w:color="auto"/>
              <w:right w:val="single" w:sz="4" w:space="0" w:color="auto"/>
            </w:tcBorders>
            <w:shd w:val="clear" w:color="000000" w:fill="00B0F0"/>
            <w:noWrap/>
            <w:vAlign w:val="bottom"/>
          </w:tcPr>
          <w:p w:rsidR="00C44C73" w:rsidRPr="00F2489D" w:rsidRDefault="00C44C73" w:rsidP="00C44C73">
            <w:pPr>
              <w:spacing w:after="0" w:line="240" w:lineRule="auto"/>
              <w:rPr>
                <w:rFonts w:ascii="Garamond" w:hAnsi="Garamond"/>
                <w:color w:val="000000"/>
                <w:sz w:val="18"/>
                <w:szCs w:val="18"/>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C44C73" w:rsidRPr="00F2489D" w:rsidRDefault="00C44C73" w:rsidP="00C44C73">
            <w:pPr>
              <w:spacing w:after="0" w:line="240" w:lineRule="auto"/>
              <w:rPr>
                <w:rFonts w:ascii="Garamond" w:hAnsi="Garamond"/>
                <w:color w:val="00B050"/>
                <w:sz w:val="18"/>
                <w:szCs w:val="18"/>
              </w:rPr>
            </w:pPr>
          </w:p>
        </w:tc>
        <w:tc>
          <w:tcPr>
            <w:tcW w:w="576" w:type="dxa"/>
            <w:tcBorders>
              <w:top w:val="single" w:sz="4" w:space="0" w:color="auto"/>
              <w:left w:val="nil"/>
              <w:bottom w:val="single" w:sz="4" w:space="0" w:color="auto"/>
              <w:right w:val="single" w:sz="4" w:space="0" w:color="auto"/>
            </w:tcBorders>
            <w:shd w:val="clear" w:color="auto" w:fill="auto"/>
            <w:noWrap/>
            <w:vAlign w:val="bottom"/>
          </w:tcPr>
          <w:p w:rsidR="00C44C73" w:rsidRPr="00F2489D" w:rsidRDefault="00C44C73" w:rsidP="00C44C73">
            <w:pPr>
              <w:spacing w:after="0" w:line="240" w:lineRule="auto"/>
              <w:rPr>
                <w:rFonts w:ascii="Garamond" w:hAnsi="Garamond"/>
                <w:color w:val="00B050"/>
                <w:sz w:val="18"/>
                <w:szCs w:val="18"/>
              </w:rPr>
            </w:pPr>
          </w:p>
        </w:tc>
        <w:tc>
          <w:tcPr>
            <w:tcW w:w="1710" w:type="dxa"/>
            <w:tcBorders>
              <w:top w:val="single" w:sz="4" w:space="0" w:color="auto"/>
              <w:left w:val="nil"/>
              <w:bottom w:val="single" w:sz="4" w:space="0" w:color="auto"/>
              <w:right w:val="single" w:sz="4" w:space="0" w:color="auto"/>
            </w:tcBorders>
            <w:shd w:val="clear" w:color="auto" w:fill="auto"/>
          </w:tcPr>
          <w:p w:rsidR="00C44C73" w:rsidRPr="00F2489D" w:rsidRDefault="00783011" w:rsidP="00783011">
            <w:pPr>
              <w:spacing w:after="0" w:line="240" w:lineRule="auto"/>
              <w:rPr>
                <w:rFonts w:ascii="Garamond" w:hAnsi="Garamond"/>
                <w:color w:val="000000"/>
                <w:sz w:val="18"/>
                <w:szCs w:val="18"/>
              </w:rPr>
            </w:pPr>
            <w:r w:rsidRPr="00F2489D">
              <w:rPr>
                <w:rFonts w:ascii="Garamond" w:hAnsi="Garamond"/>
                <w:color w:val="000000"/>
                <w:sz w:val="18"/>
                <w:szCs w:val="18"/>
              </w:rPr>
              <w:t>MoLSA</w:t>
            </w:r>
            <w:r>
              <w:rPr>
                <w:rFonts w:ascii="Garamond" w:hAnsi="Garamond"/>
                <w:color w:val="000000"/>
                <w:sz w:val="18"/>
                <w:szCs w:val="18"/>
              </w:rPr>
              <w:t>,</w:t>
            </w:r>
            <w:r w:rsidRPr="00F2489D">
              <w:rPr>
                <w:rFonts w:ascii="Garamond" w:hAnsi="Garamond"/>
                <w:color w:val="000000"/>
                <w:sz w:val="18"/>
                <w:szCs w:val="18"/>
              </w:rPr>
              <w:t xml:space="preserve"> </w:t>
            </w:r>
            <w:r>
              <w:rPr>
                <w:rFonts w:ascii="Garamond" w:hAnsi="Garamond"/>
                <w:color w:val="000000"/>
                <w:sz w:val="18"/>
                <w:szCs w:val="18"/>
              </w:rPr>
              <w:t xml:space="preserve">MoH, </w:t>
            </w:r>
            <w:r w:rsidRPr="00F2489D">
              <w:rPr>
                <w:rFonts w:ascii="Garamond" w:hAnsi="Garamond"/>
                <w:color w:val="000000"/>
                <w:sz w:val="18"/>
                <w:szCs w:val="18"/>
              </w:rPr>
              <w:t>DPs</w:t>
            </w:r>
          </w:p>
        </w:tc>
        <w:tc>
          <w:tcPr>
            <w:tcW w:w="864" w:type="dxa"/>
            <w:gridSpan w:val="2"/>
            <w:tcBorders>
              <w:top w:val="single" w:sz="4" w:space="0" w:color="auto"/>
              <w:left w:val="nil"/>
              <w:bottom w:val="single" w:sz="4" w:space="0" w:color="auto"/>
              <w:right w:val="single" w:sz="4" w:space="0" w:color="auto"/>
            </w:tcBorders>
          </w:tcPr>
          <w:p w:rsidR="00C44C73" w:rsidRPr="00F2489D" w:rsidRDefault="00C44C73" w:rsidP="00C44C73">
            <w:pPr>
              <w:spacing w:after="0" w:line="240" w:lineRule="auto"/>
              <w:rPr>
                <w:rFonts w:ascii="Garamond" w:hAnsi="Garamond"/>
                <w:color w:val="000000"/>
                <w:sz w:val="18"/>
                <w:szCs w:val="18"/>
              </w:rPr>
            </w:pPr>
          </w:p>
        </w:tc>
      </w:tr>
    </w:tbl>
    <w:p w:rsidR="00187CD8" w:rsidRPr="00C14F32" w:rsidRDefault="00187CD8" w:rsidP="00187CD8">
      <w:pPr>
        <w:spacing w:after="0" w:line="360" w:lineRule="auto"/>
        <w:jc w:val="both"/>
        <w:rPr>
          <w:rFonts w:ascii="Garamond" w:hAnsi="Garamond"/>
          <w:sz w:val="24"/>
          <w:szCs w:val="24"/>
        </w:rPr>
      </w:pPr>
    </w:p>
    <w:p w:rsidR="008046F4" w:rsidRDefault="008046F4" w:rsidP="004137EE">
      <w:pPr>
        <w:pStyle w:val="Heading1"/>
        <w:jc w:val="center"/>
      </w:pPr>
      <w:r>
        <w:br w:type="page"/>
      </w:r>
    </w:p>
    <w:p w:rsidR="008046F4" w:rsidRDefault="008046F4" w:rsidP="004F4F4E">
      <w:pPr>
        <w:pStyle w:val="Heading1"/>
        <w:jc w:val="center"/>
        <w:rPr>
          <w:rFonts w:ascii="Garamond" w:hAnsi="Garamond"/>
          <w:b/>
          <w:sz w:val="24"/>
          <w:szCs w:val="24"/>
        </w:rPr>
      </w:pPr>
      <w:bookmarkStart w:id="105" w:name="_Toc486782290"/>
      <w:r w:rsidRPr="004F4F4E">
        <w:rPr>
          <w:rFonts w:ascii="Garamond" w:hAnsi="Garamond"/>
          <w:b/>
          <w:sz w:val="24"/>
          <w:szCs w:val="24"/>
        </w:rPr>
        <w:lastRenderedPageBreak/>
        <w:t>References</w:t>
      </w:r>
      <w:bookmarkEnd w:id="105"/>
    </w:p>
    <w:p w:rsidR="004F4F4E" w:rsidRPr="004F4F4E" w:rsidRDefault="004F4F4E" w:rsidP="004F4F4E">
      <w:pPr>
        <w:spacing w:after="0" w:line="240" w:lineRule="auto"/>
      </w:pPr>
    </w:p>
    <w:p w:rsidR="00D31E37" w:rsidRDefault="00D31E37" w:rsidP="006E4D22">
      <w:pPr>
        <w:spacing w:after="0" w:line="240" w:lineRule="auto"/>
        <w:ind w:left="720" w:hanging="720"/>
        <w:jc w:val="both"/>
        <w:rPr>
          <w:rFonts w:ascii="Garamond" w:hAnsi="Garamond"/>
          <w:sz w:val="24"/>
          <w:szCs w:val="24"/>
        </w:rPr>
      </w:pPr>
      <w:r>
        <w:rPr>
          <w:rFonts w:ascii="Garamond" w:hAnsi="Garamond"/>
          <w:sz w:val="24"/>
          <w:szCs w:val="24"/>
        </w:rPr>
        <w:t xml:space="preserve">AfDB (2014a), </w:t>
      </w:r>
      <w:r w:rsidRPr="00051E88">
        <w:rPr>
          <w:rFonts w:ascii="Garamond" w:hAnsi="Garamond"/>
          <w:sz w:val="24"/>
          <w:szCs w:val="24"/>
        </w:rPr>
        <w:t>Diagnostic Report of the Ethiopian Monitoring and Evaluation System</w:t>
      </w:r>
      <w:r>
        <w:rPr>
          <w:rFonts w:ascii="Garamond" w:hAnsi="Garamond"/>
          <w:sz w:val="24"/>
          <w:szCs w:val="24"/>
        </w:rPr>
        <w:t>, I</w:t>
      </w:r>
      <w:r w:rsidRPr="00051E88">
        <w:rPr>
          <w:rFonts w:ascii="Garamond" w:hAnsi="Garamond"/>
          <w:sz w:val="24"/>
          <w:szCs w:val="24"/>
        </w:rPr>
        <w:t>ndependent Development Evaluation (IDEV)</w:t>
      </w:r>
      <w:r>
        <w:rPr>
          <w:rFonts w:ascii="Garamond" w:hAnsi="Garamond"/>
          <w:sz w:val="24"/>
          <w:szCs w:val="24"/>
        </w:rPr>
        <w:t>.</w:t>
      </w:r>
    </w:p>
    <w:p w:rsidR="00221D59" w:rsidRDefault="00221D59" w:rsidP="006E4D22">
      <w:pPr>
        <w:spacing w:after="0" w:line="240" w:lineRule="auto"/>
        <w:ind w:left="720" w:hanging="720"/>
        <w:jc w:val="both"/>
        <w:rPr>
          <w:rFonts w:ascii="Garamond" w:hAnsi="Garamond"/>
          <w:sz w:val="24"/>
          <w:szCs w:val="24"/>
        </w:rPr>
      </w:pPr>
      <w:r>
        <w:rPr>
          <w:rFonts w:ascii="Garamond" w:hAnsi="Garamond"/>
          <w:sz w:val="24"/>
          <w:szCs w:val="24"/>
        </w:rPr>
        <w:t>AfDB (2014</w:t>
      </w:r>
      <w:r w:rsidR="00D31E37">
        <w:rPr>
          <w:rFonts w:ascii="Garamond" w:hAnsi="Garamond"/>
          <w:sz w:val="24"/>
          <w:szCs w:val="24"/>
        </w:rPr>
        <w:t>b</w:t>
      </w:r>
      <w:r>
        <w:rPr>
          <w:rFonts w:ascii="Garamond" w:hAnsi="Garamond"/>
          <w:sz w:val="24"/>
          <w:szCs w:val="24"/>
        </w:rPr>
        <w:t xml:space="preserve">), </w:t>
      </w:r>
      <w:r w:rsidRPr="00221D59">
        <w:rPr>
          <w:rFonts w:ascii="Garamond" w:hAnsi="Garamond"/>
          <w:i/>
          <w:sz w:val="24"/>
          <w:szCs w:val="24"/>
        </w:rPr>
        <w:t>Eastern Africa’s manufacturing sector: Promoting technology, innovation, productivity and linkages</w:t>
      </w:r>
      <w:r w:rsidR="0054341F">
        <w:rPr>
          <w:rFonts w:ascii="Garamond" w:hAnsi="Garamond"/>
          <w:i/>
          <w:sz w:val="24"/>
          <w:szCs w:val="24"/>
        </w:rPr>
        <w:t>-</w:t>
      </w:r>
      <w:r w:rsidRPr="00221D59">
        <w:rPr>
          <w:rFonts w:ascii="Garamond" w:hAnsi="Garamond"/>
          <w:i/>
          <w:sz w:val="24"/>
          <w:szCs w:val="24"/>
        </w:rPr>
        <w:t xml:space="preserve"> Ethiopia Country Report</w:t>
      </w:r>
      <w:r>
        <w:rPr>
          <w:rFonts w:ascii="Garamond" w:hAnsi="Garamond"/>
          <w:sz w:val="24"/>
          <w:szCs w:val="24"/>
        </w:rPr>
        <w:t xml:space="preserve">, </w:t>
      </w:r>
      <w:r w:rsidRPr="00221D59">
        <w:rPr>
          <w:rFonts w:ascii="Garamond" w:hAnsi="Garamond"/>
          <w:sz w:val="24"/>
          <w:szCs w:val="24"/>
        </w:rPr>
        <w:t>Eastern Africa Regional Resource Centre (EARC)</w:t>
      </w:r>
      <w:r>
        <w:rPr>
          <w:rFonts w:ascii="Garamond" w:hAnsi="Garamond"/>
          <w:sz w:val="24"/>
          <w:szCs w:val="24"/>
        </w:rPr>
        <w:t xml:space="preserve">, Nairobi, </w:t>
      </w:r>
      <w:r w:rsidRPr="00221D59">
        <w:rPr>
          <w:rFonts w:ascii="Garamond" w:hAnsi="Garamond"/>
          <w:sz w:val="24"/>
          <w:szCs w:val="24"/>
        </w:rPr>
        <w:t>K</w:t>
      </w:r>
      <w:r>
        <w:rPr>
          <w:rFonts w:ascii="Garamond" w:hAnsi="Garamond"/>
          <w:sz w:val="24"/>
          <w:szCs w:val="24"/>
        </w:rPr>
        <w:t>e</w:t>
      </w:r>
      <w:r w:rsidRPr="00221D59">
        <w:rPr>
          <w:rFonts w:ascii="Garamond" w:hAnsi="Garamond"/>
          <w:sz w:val="24"/>
          <w:szCs w:val="24"/>
        </w:rPr>
        <w:t>nya</w:t>
      </w:r>
      <w:r>
        <w:rPr>
          <w:rFonts w:ascii="Garamond" w:hAnsi="Garamond"/>
          <w:sz w:val="24"/>
          <w:szCs w:val="24"/>
        </w:rPr>
        <w:t>.</w:t>
      </w:r>
    </w:p>
    <w:p w:rsidR="006C4F16" w:rsidRPr="006C4F16" w:rsidRDefault="006C4F16" w:rsidP="006C4F16">
      <w:pPr>
        <w:pStyle w:val="Default"/>
        <w:ind w:left="720" w:hanging="720"/>
        <w:jc w:val="both"/>
        <w:rPr>
          <w:rFonts w:ascii="Garamond" w:hAnsi="Garamond"/>
        </w:rPr>
      </w:pPr>
      <w:r>
        <w:rPr>
          <w:rFonts w:ascii="Garamond" w:hAnsi="Garamond"/>
        </w:rPr>
        <w:t xml:space="preserve">AP-DEF and UNDP (2016), Achieving the sustainable development goals kin the area of the Addis Ababa Action Agenda: </w:t>
      </w:r>
      <w:r w:rsidRPr="006C4F16">
        <w:rPr>
          <w:rFonts w:ascii="Garamond" w:hAnsi="Garamond"/>
        </w:rPr>
        <w:t>Progress on establishing integrated national financing frameworks in the Asia-Pacific region</w:t>
      </w:r>
      <w:r>
        <w:rPr>
          <w:rFonts w:ascii="Garamond" w:hAnsi="Garamond"/>
        </w:rPr>
        <w:t xml:space="preserve">.  </w:t>
      </w:r>
    </w:p>
    <w:p w:rsidR="00442F72" w:rsidRDefault="00442F72" w:rsidP="006E4D22">
      <w:pPr>
        <w:spacing w:after="0" w:line="240" w:lineRule="auto"/>
        <w:ind w:left="720" w:hanging="720"/>
        <w:jc w:val="both"/>
        <w:rPr>
          <w:rFonts w:ascii="Garamond" w:hAnsi="Garamond"/>
          <w:sz w:val="24"/>
          <w:szCs w:val="24"/>
        </w:rPr>
      </w:pPr>
      <w:r>
        <w:rPr>
          <w:rFonts w:ascii="Garamond" w:hAnsi="Garamond"/>
          <w:sz w:val="24"/>
          <w:szCs w:val="24"/>
        </w:rPr>
        <w:t xml:space="preserve">AFD and UNDP (2016), </w:t>
      </w:r>
      <w:r w:rsidRPr="006C4F16">
        <w:rPr>
          <w:rFonts w:ascii="Garamond" w:hAnsi="Garamond"/>
          <w:sz w:val="24"/>
          <w:szCs w:val="24"/>
        </w:rPr>
        <w:t>Financing the SDGs in the Least Developed Countries (LDCs): Diversifying the Financing Tool-box and Managing Vulnerability</w:t>
      </w:r>
      <w:r w:rsidR="006C4F16">
        <w:rPr>
          <w:rFonts w:ascii="Garamond" w:hAnsi="Garamond"/>
          <w:sz w:val="24"/>
          <w:szCs w:val="24"/>
        </w:rPr>
        <w:t xml:space="preserve">. </w:t>
      </w:r>
    </w:p>
    <w:p w:rsidR="00195B6A" w:rsidRDefault="00195B6A" w:rsidP="006E4D22">
      <w:pPr>
        <w:spacing w:after="0" w:line="240" w:lineRule="auto"/>
        <w:ind w:left="720" w:hanging="720"/>
        <w:jc w:val="both"/>
        <w:rPr>
          <w:rFonts w:ascii="Garamond" w:hAnsi="Garamond"/>
          <w:sz w:val="24"/>
          <w:szCs w:val="24"/>
        </w:rPr>
      </w:pPr>
      <w:r w:rsidRPr="0091524E">
        <w:rPr>
          <w:rFonts w:ascii="Garamond" w:hAnsi="Garamond"/>
          <w:sz w:val="24"/>
          <w:szCs w:val="24"/>
        </w:rPr>
        <w:t>Assaminew</w:t>
      </w:r>
      <w:r>
        <w:rPr>
          <w:rFonts w:ascii="Garamond" w:hAnsi="Garamond"/>
          <w:sz w:val="24"/>
          <w:szCs w:val="24"/>
        </w:rPr>
        <w:t xml:space="preserve">, E. Ahmed, G., </w:t>
      </w:r>
      <w:r w:rsidRPr="0091524E">
        <w:rPr>
          <w:rFonts w:ascii="Garamond" w:hAnsi="Garamond"/>
          <w:sz w:val="24"/>
          <w:szCs w:val="24"/>
        </w:rPr>
        <w:t>Aberra</w:t>
      </w:r>
      <w:r>
        <w:rPr>
          <w:rFonts w:ascii="Garamond" w:hAnsi="Garamond"/>
          <w:sz w:val="24"/>
          <w:szCs w:val="24"/>
        </w:rPr>
        <w:t>, K.</w:t>
      </w:r>
      <w:r w:rsidRPr="0091524E">
        <w:rPr>
          <w:rFonts w:ascii="Garamond" w:hAnsi="Garamond"/>
          <w:sz w:val="24"/>
          <w:szCs w:val="24"/>
        </w:rPr>
        <w:t xml:space="preserve"> and Makonnen</w:t>
      </w:r>
      <w:r>
        <w:rPr>
          <w:rFonts w:ascii="Garamond" w:hAnsi="Garamond"/>
          <w:sz w:val="24"/>
          <w:szCs w:val="24"/>
        </w:rPr>
        <w:t xml:space="preserve">, T. (2010), </w:t>
      </w:r>
      <w:r w:rsidRPr="0091524E">
        <w:rPr>
          <w:rFonts w:ascii="Garamond" w:hAnsi="Garamond"/>
          <w:sz w:val="24"/>
          <w:szCs w:val="24"/>
        </w:rPr>
        <w:t>I</w:t>
      </w:r>
      <w:r>
        <w:rPr>
          <w:rFonts w:ascii="Garamond" w:hAnsi="Garamond"/>
          <w:sz w:val="24"/>
          <w:szCs w:val="24"/>
        </w:rPr>
        <w:t xml:space="preserve">nternational migration, remittances, and poverty alleviation in Ethiopia, </w:t>
      </w:r>
      <w:r w:rsidRPr="0091524E">
        <w:rPr>
          <w:rFonts w:ascii="Garamond" w:hAnsi="Garamond"/>
          <w:sz w:val="24"/>
          <w:szCs w:val="24"/>
        </w:rPr>
        <w:t>Working Paper No 1/2010</w:t>
      </w:r>
      <w:r>
        <w:rPr>
          <w:rFonts w:ascii="Garamond" w:hAnsi="Garamond"/>
          <w:sz w:val="24"/>
          <w:szCs w:val="24"/>
        </w:rPr>
        <w:t xml:space="preserve">, </w:t>
      </w:r>
      <w:r w:rsidRPr="0091524E">
        <w:rPr>
          <w:rFonts w:ascii="Garamond" w:hAnsi="Garamond"/>
          <w:sz w:val="24"/>
          <w:szCs w:val="24"/>
        </w:rPr>
        <w:t>Et</w:t>
      </w:r>
      <w:r>
        <w:rPr>
          <w:rFonts w:ascii="Garamond" w:hAnsi="Garamond"/>
          <w:sz w:val="24"/>
          <w:szCs w:val="24"/>
        </w:rPr>
        <w:t>hiopian Economics Association/</w:t>
      </w:r>
      <w:r w:rsidRPr="0091524E">
        <w:rPr>
          <w:rFonts w:ascii="Garamond" w:hAnsi="Garamond"/>
          <w:sz w:val="24"/>
          <w:szCs w:val="24"/>
        </w:rPr>
        <w:t>Ethiopian Econo</w:t>
      </w:r>
      <w:r>
        <w:rPr>
          <w:rFonts w:ascii="Garamond" w:hAnsi="Garamond"/>
          <w:sz w:val="24"/>
          <w:szCs w:val="24"/>
        </w:rPr>
        <w:t xml:space="preserve">mics Policy Research Institute </w:t>
      </w:r>
      <w:r w:rsidRPr="0091524E">
        <w:rPr>
          <w:rFonts w:ascii="Garamond" w:hAnsi="Garamond"/>
          <w:sz w:val="24"/>
          <w:szCs w:val="24"/>
        </w:rPr>
        <w:t>(EEA/EEPRI)</w:t>
      </w:r>
      <w:r w:rsidR="00E16D84">
        <w:rPr>
          <w:rFonts w:ascii="Garamond" w:hAnsi="Garamond"/>
          <w:sz w:val="24"/>
          <w:szCs w:val="24"/>
        </w:rPr>
        <w:t>.</w:t>
      </w:r>
    </w:p>
    <w:p w:rsidR="0066464E" w:rsidRDefault="00304550" w:rsidP="006E4D22">
      <w:pPr>
        <w:spacing w:after="0" w:line="240" w:lineRule="auto"/>
        <w:ind w:left="720" w:hanging="720"/>
        <w:jc w:val="both"/>
        <w:rPr>
          <w:rFonts w:ascii="Garamond" w:hAnsi="Garamond"/>
          <w:sz w:val="24"/>
          <w:szCs w:val="24"/>
        </w:rPr>
      </w:pPr>
      <w:r w:rsidRPr="00304550">
        <w:rPr>
          <w:rFonts w:ascii="Garamond" w:hAnsi="Garamond"/>
          <w:sz w:val="24"/>
          <w:szCs w:val="24"/>
        </w:rPr>
        <w:t>Asubonteng</w:t>
      </w:r>
      <w:r>
        <w:rPr>
          <w:rFonts w:ascii="Garamond" w:hAnsi="Garamond"/>
          <w:sz w:val="24"/>
          <w:szCs w:val="24"/>
        </w:rPr>
        <w:t xml:space="preserve">, K. (2011), </w:t>
      </w:r>
      <w:r w:rsidRPr="00304550">
        <w:rPr>
          <w:rFonts w:ascii="Garamond" w:hAnsi="Garamond"/>
          <w:i/>
          <w:sz w:val="24"/>
          <w:szCs w:val="24"/>
        </w:rPr>
        <w:t>The potential for public-private partnership in Ethiopia</w:t>
      </w:r>
      <w:r>
        <w:rPr>
          <w:rFonts w:ascii="Garamond" w:hAnsi="Garamond"/>
          <w:sz w:val="24"/>
          <w:szCs w:val="24"/>
        </w:rPr>
        <w:t xml:space="preserve">, </w:t>
      </w:r>
      <w:r w:rsidRPr="00304550">
        <w:rPr>
          <w:rFonts w:ascii="Garamond" w:hAnsi="Garamond"/>
          <w:sz w:val="24"/>
          <w:szCs w:val="24"/>
        </w:rPr>
        <w:t xml:space="preserve">Private Sector Development Hub/Addis Ababa Chamber of Commerce and Sectoral </w:t>
      </w:r>
      <w:r>
        <w:rPr>
          <w:rFonts w:ascii="Garamond" w:hAnsi="Garamond"/>
          <w:sz w:val="24"/>
          <w:szCs w:val="24"/>
        </w:rPr>
        <w:t>A</w:t>
      </w:r>
      <w:r w:rsidRPr="00304550">
        <w:rPr>
          <w:rFonts w:ascii="Garamond" w:hAnsi="Garamond"/>
          <w:sz w:val="24"/>
          <w:szCs w:val="24"/>
        </w:rPr>
        <w:t>ssociations</w:t>
      </w:r>
      <w:r w:rsidR="0066464E">
        <w:rPr>
          <w:rFonts w:ascii="Garamond" w:hAnsi="Garamond"/>
          <w:sz w:val="24"/>
          <w:szCs w:val="24"/>
        </w:rPr>
        <w:t>.</w:t>
      </w:r>
    </w:p>
    <w:p w:rsidR="00D77FF2" w:rsidRPr="00D77FF2" w:rsidRDefault="00D77FF2" w:rsidP="00D77FF2">
      <w:pPr>
        <w:autoSpaceDE w:val="0"/>
        <w:autoSpaceDN w:val="0"/>
        <w:adjustRightInd w:val="0"/>
        <w:spacing w:after="0" w:line="240" w:lineRule="auto"/>
        <w:ind w:left="720" w:hanging="720"/>
        <w:rPr>
          <w:rFonts w:ascii="Garamond" w:hAnsi="Garamond"/>
          <w:sz w:val="24"/>
          <w:szCs w:val="24"/>
        </w:rPr>
      </w:pPr>
      <w:r w:rsidRPr="00D77FF2">
        <w:rPr>
          <w:rFonts w:ascii="Garamond" w:eastAsia="Calibri" w:hAnsi="Garamond" w:cs="Calibri"/>
          <w:color w:val="000000"/>
          <w:sz w:val="24"/>
          <w:szCs w:val="24"/>
        </w:rPr>
        <w:t xml:space="preserve">Bjornestad, L., Hossain, J., Sinha, J. and Stratta, N. (2016), </w:t>
      </w:r>
      <w:r w:rsidRPr="00D77FF2">
        <w:rPr>
          <w:rFonts w:ascii="Garamond" w:hAnsi="Garamond"/>
          <w:sz w:val="24"/>
          <w:szCs w:val="24"/>
        </w:rPr>
        <w:t>Strengthening Finance for the 7th Five Year Plan and SDGs in Bangladesh: Findings from an Independent Development Finance Assessment.</w:t>
      </w:r>
    </w:p>
    <w:p w:rsidR="0066464E" w:rsidRDefault="0066464E" w:rsidP="006E4D22">
      <w:pPr>
        <w:spacing w:after="0" w:line="240" w:lineRule="auto"/>
        <w:rPr>
          <w:rFonts w:ascii="Garamond" w:hAnsi="Garamond"/>
          <w:sz w:val="24"/>
          <w:szCs w:val="24"/>
        </w:rPr>
      </w:pPr>
      <w:r>
        <w:rPr>
          <w:rFonts w:ascii="Garamond" w:hAnsi="Garamond"/>
          <w:sz w:val="24"/>
          <w:szCs w:val="24"/>
        </w:rPr>
        <w:t xml:space="preserve">Development Initiatives (2016), </w:t>
      </w:r>
      <w:r w:rsidRPr="00170ECE">
        <w:rPr>
          <w:rFonts w:ascii="Garamond" w:hAnsi="Garamond"/>
          <w:i/>
          <w:sz w:val="24"/>
          <w:szCs w:val="24"/>
        </w:rPr>
        <w:t>Global Humanitarian Assistance Group Report</w:t>
      </w:r>
      <w:r>
        <w:rPr>
          <w:rFonts w:ascii="Garamond" w:hAnsi="Garamond"/>
          <w:i/>
          <w:sz w:val="24"/>
          <w:szCs w:val="24"/>
        </w:rPr>
        <w:t>.</w:t>
      </w:r>
      <w:r>
        <w:rPr>
          <w:rFonts w:ascii="Garamond" w:hAnsi="Garamond"/>
          <w:sz w:val="24"/>
          <w:szCs w:val="24"/>
        </w:rPr>
        <w:t xml:space="preserve"> </w:t>
      </w:r>
    </w:p>
    <w:p w:rsidR="00541909" w:rsidRDefault="00541909" w:rsidP="006E4D22">
      <w:pPr>
        <w:spacing w:after="0" w:line="240" w:lineRule="auto"/>
        <w:ind w:left="720" w:hanging="720"/>
        <w:rPr>
          <w:rFonts w:ascii="Garamond" w:hAnsi="Garamond"/>
          <w:sz w:val="24"/>
          <w:szCs w:val="24"/>
        </w:rPr>
      </w:pPr>
      <w:r w:rsidRPr="00541909">
        <w:rPr>
          <w:rFonts w:ascii="Garamond" w:hAnsi="Garamond"/>
          <w:sz w:val="24"/>
          <w:szCs w:val="24"/>
        </w:rPr>
        <w:t>EMOST</w:t>
      </w:r>
      <w:r>
        <w:rPr>
          <w:rFonts w:ascii="Garamond" w:hAnsi="Garamond"/>
          <w:sz w:val="24"/>
          <w:szCs w:val="24"/>
        </w:rPr>
        <w:t xml:space="preserve"> (</w:t>
      </w:r>
      <w:r w:rsidRPr="00541909">
        <w:rPr>
          <w:rFonts w:ascii="Garamond" w:hAnsi="Garamond"/>
          <w:sz w:val="24"/>
          <w:szCs w:val="24"/>
        </w:rPr>
        <w:t>2015)</w:t>
      </w:r>
      <w:r>
        <w:rPr>
          <w:rFonts w:ascii="Garamond" w:hAnsi="Garamond"/>
          <w:sz w:val="24"/>
          <w:szCs w:val="24"/>
        </w:rPr>
        <w:t>,</w:t>
      </w:r>
      <w:r w:rsidRPr="00541909">
        <w:t xml:space="preserve"> </w:t>
      </w:r>
      <w:r w:rsidRPr="00541909">
        <w:rPr>
          <w:rFonts w:ascii="Garamond" w:hAnsi="Garamond"/>
          <w:sz w:val="24"/>
          <w:szCs w:val="24"/>
        </w:rPr>
        <w:t>Scienti</w:t>
      </w:r>
      <w:r>
        <w:rPr>
          <w:rFonts w:ascii="Garamond" w:hAnsi="Garamond"/>
          <w:sz w:val="24"/>
          <w:szCs w:val="24"/>
        </w:rPr>
        <w:t>f</w:t>
      </w:r>
      <w:r w:rsidRPr="00541909">
        <w:rPr>
          <w:rFonts w:ascii="Garamond" w:hAnsi="Garamond"/>
          <w:sz w:val="24"/>
          <w:szCs w:val="24"/>
        </w:rPr>
        <w:t xml:space="preserve">ic and </w:t>
      </w:r>
      <w:r>
        <w:rPr>
          <w:rFonts w:ascii="Garamond" w:hAnsi="Garamond"/>
          <w:sz w:val="24"/>
          <w:szCs w:val="24"/>
        </w:rPr>
        <w:t>T</w:t>
      </w:r>
      <w:r w:rsidRPr="00541909">
        <w:rPr>
          <w:rFonts w:ascii="Garamond" w:hAnsi="Garamond"/>
          <w:sz w:val="24"/>
          <w:szCs w:val="24"/>
        </w:rPr>
        <w:t>echnological Human Resources Supply and Demand in Ethiopia for 2015–2023 G.C., 2015.</w:t>
      </w:r>
    </w:p>
    <w:p w:rsidR="0074500A" w:rsidRDefault="00195B6A" w:rsidP="006E4D22">
      <w:pPr>
        <w:spacing w:after="0" w:line="240" w:lineRule="auto"/>
        <w:ind w:left="720" w:hanging="720"/>
        <w:rPr>
          <w:rFonts w:ascii="Garamond" w:hAnsi="Garamond"/>
          <w:sz w:val="24"/>
          <w:szCs w:val="24"/>
        </w:rPr>
      </w:pPr>
      <w:r w:rsidRPr="00195B6A">
        <w:rPr>
          <w:rFonts w:ascii="Garamond" w:hAnsi="Garamond"/>
          <w:sz w:val="24"/>
          <w:szCs w:val="24"/>
        </w:rPr>
        <w:t>EIFTRI/AEMFI (2014), Data Collection Survey on export promotion in Ethiopia, a</w:t>
      </w:r>
      <w:r>
        <w:rPr>
          <w:rFonts w:ascii="Garamond" w:hAnsi="Garamond"/>
          <w:sz w:val="24"/>
          <w:szCs w:val="24"/>
        </w:rPr>
        <w:t xml:space="preserve"> research report prepared for JICA, Addis Ababa, Ethiopia</w:t>
      </w:r>
      <w:r w:rsidR="00E16D84">
        <w:rPr>
          <w:rFonts w:ascii="Garamond" w:hAnsi="Garamond"/>
          <w:sz w:val="24"/>
          <w:szCs w:val="24"/>
        </w:rPr>
        <w:t>.</w:t>
      </w:r>
    </w:p>
    <w:p w:rsidR="00E51DBB" w:rsidRPr="00E51DBB" w:rsidRDefault="00E51DBB" w:rsidP="00E51DBB">
      <w:pPr>
        <w:autoSpaceDE w:val="0"/>
        <w:autoSpaceDN w:val="0"/>
        <w:adjustRightInd w:val="0"/>
        <w:spacing w:after="0" w:line="240" w:lineRule="auto"/>
        <w:ind w:left="720" w:hanging="720"/>
        <w:jc w:val="both"/>
        <w:rPr>
          <w:rFonts w:ascii="Garamond" w:hAnsi="Garamond"/>
          <w:sz w:val="24"/>
          <w:szCs w:val="24"/>
        </w:rPr>
      </w:pPr>
      <w:r w:rsidRPr="00E51DBB">
        <w:rPr>
          <w:rFonts w:ascii="Garamond" w:eastAsiaTheme="minorHAnsi" w:hAnsi="Garamond" w:cs="HelveticaNeueLTCom-LtCn"/>
          <w:color w:val="231F20"/>
          <w:sz w:val="24"/>
          <w:szCs w:val="24"/>
          <w:lang w:val="en-GB"/>
        </w:rPr>
        <w:t xml:space="preserve">Eshetu, E., Simane, B., Tebeje, G., Negatu, W., Amsalu, A.,Berhanu, A., Bird, N., Welham, B. and Canales Trujillo, N.(2014) </w:t>
      </w:r>
      <w:r w:rsidRPr="00E51DBB">
        <w:rPr>
          <w:rFonts w:ascii="Garamond" w:eastAsiaTheme="minorHAnsi" w:hAnsi="Garamond" w:cs="HelveticaNeueLTCom-LtCnO"/>
          <w:color w:val="231F20"/>
          <w:sz w:val="24"/>
          <w:szCs w:val="24"/>
          <w:lang w:val="en-GB"/>
        </w:rPr>
        <w:t xml:space="preserve">Climate finance in Ethiopia. </w:t>
      </w:r>
      <w:r w:rsidRPr="00E51DBB">
        <w:rPr>
          <w:rFonts w:ascii="Garamond" w:eastAsiaTheme="minorHAnsi" w:hAnsi="Garamond" w:cs="HelveticaNeueLTCom-LtCn"/>
          <w:color w:val="231F20"/>
          <w:sz w:val="24"/>
          <w:szCs w:val="24"/>
          <w:lang w:val="en-GB"/>
        </w:rPr>
        <w:t>London and AddisAbaba: ODI and Climate Science Centre, Addis</w:t>
      </w:r>
      <w:r>
        <w:rPr>
          <w:rFonts w:ascii="Garamond" w:eastAsiaTheme="minorHAnsi" w:hAnsi="Garamond" w:cs="HelveticaNeueLTCom-LtCn"/>
          <w:color w:val="231F20"/>
          <w:sz w:val="24"/>
          <w:szCs w:val="24"/>
          <w:lang w:val="en-GB"/>
        </w:rPr>
        <w:t xml:space="preserve"> </w:t>
      </w:r>
      <w:r w:rsidRPr="00E51DBB">
        <w:rPr>
          <w:rFonts w:ascii="Garamond" w:eastAsiaTheme="minorHAnsi" w:hAnsi="Garamond" w:cs="HelveticaNeueLTCom-LtCn"/>
          <w:color w:val="231F20"/>
          <w:sz w:val="24"/>
          <w:szCs w:val="24"/>
          <w:lang w:val="en-GB"/>
        </w:rPr>
        <w:t>Ababa University.</w:t>
      </w:r>
    </w:p>
    <w:p w:rsidR="0074500A" w:rsidRPr="0074500A" w:rsidRDefault="0074500A" w:rsidP="006E4D22">
      <w:pPr>
        <w:spacing w:after="0" w:line="240" w:lineRule="auto"/>
        <w:jc w:val="center"/>
        <w:rPr>
          <w:rFonts w:ascii="Garamond" w:hAnsi="Garamond"/>
          <w:sz w:val="24"/>
          <w:szCs w:val="24"/>
        </w:rPr>
      </w:pPr>
      <w:r w:rsidRPr="0074500A">
        <w:rPr>
          <w:rFonts w:ascii="Garamond" w:hAnsi="Garamond"/>
          <w:sz w:val="24"/>
          <w:szCs w:val="24"/>
        </w:rPr>
        <w:t>Ferede, T., Admassie, A</w:t>
      </w:r>
      <w:r>
        <w:rPr>
          <w:rFonts w:ascii="Garamond" w:hAnsi="Garamond"/>
          <w:sz w:val="24"/>
          <w:szCs w:val="24"/>
        </w:rPr>
        <w:t>.</w:t>
      </w:r>
      <w:r w:rsidRPr="0074500A">
        <w:rPr>
          <w:rFonts w:ascii="Garamond" w:hAnsi="Garamond"/>
          <w:sz w:val="24"/>
          <w:szCs w:val="24"/>
        </w:rPr>
        <w:t xml:space="preserve"> </w:t>
      </w:r>
      <w:r>
        <w:rPr>
          <w:rFonts w:ascii="Garamond" w:hAnsi="Garamond"/>
          <w:sz w:val="24"/>
          <w:szCs w:val="24"/>
        </w:rPr>
        <w:t>a</w:t>
      </w:r>
      <w:r w:rsidRPr="0074500A">
        <w:rPr>
          <w:rFonts w:ascii="Garamond" w:hAnsi="Garamond"/>
          <w:sz w:val="24"/>
          <w:szCs w:val="24"/>
        </w:rPr>
        <w:t>nd Nuru, S. (2015), Migration and forced labour from selected regions of Ethiopia</w:t>
      </w:r>
      <w:r>
        <w:rPr>
          <w:rFonts w:ascii="Garamond" w:hAnsi="Garamond"/>
          <w:sz w:val="24"/>
          <w:szCs w:val="24"/>
        </w:rPr>
        <w:t xml:space="preserve">, a research report prepared for ILO. </w:t>
      </w:r>
    </w:p>
    <w:p w:rsidR="00E16D84" w:rsidRDefault="00E16D84" w:rsidP="006E4D22">
      <w:pPr>
        <w:spacing w:after="0" w:line="240" w:lineRule="auto"/>
        <w:ind w:left="720" w:hanging="720"/>
        <w:jc w:val="both"/>
        <w:rPr>
          <w:rFonts w:ascii="Garamond" w:hAnsi="Garamond"/>
          <w:sz w:val="24"/>
          <w:szCs w:val="24"/>
        </w:rPr>
      </w:pPr>
      <w:r>
        <w:rPr>
          <w:rFonts w:ascii="Garamond" w:hAnsi="Garamond"/>
          <w:sz w:val="24"/>
          <w:szCs w:val="24"/>
        </w:rPr>
        <w:t>Ferede, T. and Fantahun, B. (2014),</w:t>
      </w:r>
      <w:r w:rsidRPr="00195B6A">
        <w:rPr>
          <w:rFonts w:ascii="Garamond" w:hAnsi="Garamond"/>
          <w:sz w:val="24"/>
          <w:szCs w:val="24"/>
        </w:rPr>
        <w:t xml:space="preserve"> Ethiopia’s Export Status: Challenges and opportunities for export competitiveness and diversification</w:t>
      </w:r>
      <w:r>
        <w:rPr>
          <w:rFonts w:ascii="Garamond" w:hAnsi="Garamond"/>
          <w:sz w:val="24"/>
          <w:szCs w:val="24"/>
        </w:rPr>
        <w:t xml:space="preserve">, a research report prepared for the National Planning Commission, Ethiopia. </w:t>
      </w:r>
    </w:p>
    <w:p w:rsidR="00DA687B" w:rsidRPr="0066464E" w:rsidRDefault="00DA687B" w:rsidP="006E4D22">
      <w:pPr>
        <w:autoSpaceDE w:val="0"/>
        <w:autoSpaceDN w:val="0"/>
        <w:adjustRightInd w:val="0"/>
        <w:spacing w:after="0" w:line="240" w:lineRule="auto"/>
        <w:jc w:val="both"/>
        <w:rPr>
          <w:rFonts w:ascii="Garamond" w:hAnsi="Garamond"/>
          <w:i/>
          <w:sz w:val="24"/>
          <w:szCs w:val="24"/>
        </w:rPr>
      </w:pPr>
      <w:r w:rsidRPr="0066464E">
        <w:rPr>
          <w:rFonts w:ascii="Garamond" w:hAnsi="Garamond"/>
          <w:sz w:val="24"/>
          <w:szCs w:val="24"/>
        </w:rPr>
        <w:t>Global Financial Integrity Report (2015),</w:t>
      </w:r>
      <w:r w:rsidR="00966974" w:rsidRPr="0066464E">
        <w:rPr>
          <w:sz w:val="24"/>
          <w:szCs w:val="24"/>
        </w:rPr>
        <w:t xml:space="preserve"> </w:t>
      </w:r>
      <w:r w:rsidR="00966974" w:rsidRPr="0066464E">
        <w:rPr>
          <w:rFonts w:ascii="Garamond" w:hAnsi="Garamond"/>
          <w:i/>
          <w:sz w:val="24"/>
          <w:szCs w:val="24"/>
        </w:rPr>
        <w:t>Illicit Financial Flows from Developing Countries: 2004-2013</w:t>
      </w:r>
      <w:r w:rsidR="0066464E">
        <w:rPr>
          <w:rFonts w:ascii="Garamond" w:hAnsi="Garamond"/>
          <w:i/>
          <w:sz w:val="24"/>
          <w:szCs w:val="24"/>
        </w:rPr>
        <w:t>.</w:t>
      </w:r>
    </w:p>
    <w:p w:rsidR="008046F4" w:rsidRDefault="008046F4" w:rsidP="006E4D22">
      <w:pPr>
        <w:spacing w:after="0" w:line="240" w:lineRule="auto"/>
        <w:rPr>
          <w:rFonts w:ascii="Garamond" w:hAnsi="Garamond"/>
          <w:sz w:val="24"/>
          <w:szCs w:val="24"/>
        </w:rPr>
      </w:pPr>
      <w:r w:rsidRPr="00D30B4E">
        <w:rPr>
          <w:rFonts w:ascii="Garamond" w:hAnsi="Garamond"/>
          <w:sz w:val="24"/>
          <w:szCs w:val="24"/>
        </w:rPr>
        <w:t>IMF (2016), Staff report for the 2016 Article IV consultation</w:t>
      </w:r>
      <w:r w:rsidR="00E16D84">
        <w:rPr>
          <w:rFonts w:ascii="Garamond" w:hAnsi="Garamond"/>
          <w:sz w:val="24"/>
          <w:szCs w:val="24"/>
        </w:rPr>
        <w:t xml:space="preserve">: </w:t>
      </w:r>
      <w:r w:rsidRPr="00D30B4E">
        <w:rPr>
          <w:rFonts w:ascii="Garamond" w:hAnsi="Garamond"/>
          <w:sz w:val="24"/>
          <w:szCs w:val="24"/>
        </w:rPr>
        <w:t>Debt sustainability analysis</w:t>
      </w:r>
      <w:r>
        <w:rPr>
          <w:rFonts w:ascii="Garamond" w:hAnsi="Garamond"/>
          <w:sz w:val="24"/>
          <w:szCs w:val="24"/>
        </w:rPr>
        <w:t>.</w:t>
      </w:r>
      <w:r w:rsidRPr="00D30B4E">
        <w:rPr>
          <w:rFonts w:ascii="Garamond" w:hAnsi="Garamond"/>
          <w:sz w:val="24"/>
          <w:szCs w:val="24"/>
        </w:rPr>
        <w:t xml:space="preserve"> </w:t>
      </w:r>
    </w:p>
    <w:p w:rsidR="008046F4" w:rsidRDefault="008046F4" w:rsidP="006E4D22">
      <w:pPr>
        <w:spacing w:after="0" w:line="240" w:lineRule="auto"/>
        <w:ind w:left="720" w:hanging="720"/>
        <w:rPr>
          <w:rFonts w:ascii="Garamond" w:hAnsi="Garamond"/>
          <w:sz w:val="24"/>
          <w:szCs w:val="24"/>
        </w:rPr>
      </w:pPr>
      <w:r w:rsidRPr="00CE3D21">
        <w:rPr>
          <w:rFonts w:ascii="Garamond" w:hAnsi="Garamond"/>
          <w:sz w:val="24"/>
          <w:szCs w:val="24"/>
        </w:rPr>
        <w:t>Kuschminder K</w:t>
      </w:r>
      <w:r>
        <w:rPr>
          <w:rFonts w:ascii="Garamond" w:hAnsi="Garamond"/>
          <w:sz w:val="24"/>
          <w:szCs w:val="24"/>
        </w:rPr>
        <w:t xml:space="preserve">. </w:t>
      </w:r>
      <w:r w:rsidRPr="00CE3D21">
        <w:rPr>
          <w:rFonts w:ascii="Garamond" w:hAnsi="Garamond"/>
          <w:sz w:val="24"/>
          <w:szCs w:val="24"/>
        </w:rPr>
        <w:t>&amp; Siegel</w:t>
      </w:r>
      <w:r>
        <w:rPr>
          <w:rFonts w:ascii="Garamond" w:hAnsi="Garamond"/>
          <w:sz w:val="24"/>
          <w:szCs w:val="24"/>
        </w:rPr>
        <w:t xml:space="preserve">, M. (2014), </w:t>
      </w:r>
      <w:r w:rsidRPr="00800D54">
        <w:rPr>
          <w:rFonts w:ascii="Garamond" w:hAnsi="Garamond"/>
          <w:i/>
          <w:sz w:val="24"/>
          <w:szCs w:val="24"/>
        </w:rPr>
        <w:t>Migration &amp; Development: A World in Motion Ethiopia Country Report</w:t>
      </w:r>
      <w:r>
        <w:rPr>
          <w:rFonts w:ascii="Garamond" w:hAnsi="Garamond"/>
          <w:sz w:val="24"/>
          <w:szCs w:val="24"/>
        </w:rPr>
        <w:t xml:space="preserve">, </w:t>
      </w:r>
      <w:r w:rsidRPr="00CE3D21">
        <w:rPr>
          <w:rFonts w:ascii="Garamond" w:hAnsi="Garamond"/>
          <w:sz w:val="24"/>
          <w:szCs w:val="24"/>
        </w:rPr>
        <w:t>Maastricht University</w:t>
      </w:r>
      <w:r>
        <w:rPr>
          <w:rFonts w:ascii="Garamond" w:hAnsi="Garamond"/>
          <w:sz w:val="24"/>
          <w:szCs w:val="24"/>
        </w:rPr>
        <w:t xml:space="preserve">. </w:t>
      </w:r>
    </w:p>
    <w:p w:rsidR="0066464E" w:rsidRPr="008602B3" w:rsidRDefault="0066464E" w:rsidP="006E4D22">
      <w:pPr>
        <w:spacing w:after="0" w:line="240" w:lineRule="auto"/>
        <w:rPr>
          <w:rFonts w:ascii="Garamond" w:hAnsi="Garamond"/>
        </w:rPr>
      </w:pPr>
      <w:bookmarkStart w:id="106" w:name="_Toc476713931"/>
      <w:r w:rsidRPr="008602B3">
        <w:rPr>
          <w:rFonts w:ascii="Garamond" w:hAnsi="Garamond"/>
        </w:rPr>
        <w:t xml:space="preserve">Merso, F. and Ferede, T. (2014), </w:t>
      </w:r>
      <w:bookmarkStart w:id="107" w:name="_Toc403976722"/>
      <w:bookmarkStart w:id="108" w:name="_Toc403980193"/>
      <w:bookmarkStart w:id="109" w:name="_Toc404007909"/>
      <w:bookmarkStart w:id="110" w:name="_Toc404008135"/>
      <w:r w:rsidRPr="008602B3">
        <w:rPr>
          <w:rFonts w:ascii="Garamond" w:hAnsi="Garamond"/>
        </w:rPr>
        <w:t>Corruption and International Trade Perception Survey in Ethiopia</w:t>
      </w:r>
      <w:bookmarkEnd w:id="107"/>
      <w:bookmarkEnd w:id="108"/>
      <w:bookmarkEnd w:id="109"/>
      <w:bookmarkEnd w:id="110"/>
      <w:r w:rsidRPr="008602B3">
        <w:rPr>
          <w:rFonts w:ascii="Garamond" w:hAnsi="Garamond"/>
        </w:rPr>
        <w:t>,</w:t>
      </w:r>
      <w:bookmarkEnd w:id="106"/>
      <w:r w:rsidRPr="008602B3">
        <w:rPr>
          <w:rFonts w:ascii="Garamond" w:hAnsi="Garamond"/>
        </w:rPr>
        <w:t xml:space="preserve">    </w:t>
      </w:r>
    </w:p>
    <w:p w:rsidR="0066464E" w:rsidRPr="008602B3" w:rsidRDefault="0066464E" w:rsidP="006E4D22">
      <w:pPr>
        <w:spacing w:after="0" w:line="240" w:lineRule="auto"/>
        <w:rPr>
          <w:rFonts w:ascii="Garamond" w:hAnsi="Garamond"/>
          <w:b/>
        </w:rPr>
      </w:pPr>
      <w:r w:rsidRPr="008602B3">
        <w:rPr>
          <w:rFonts w:ascii="Garamond" w:hAnsi="Garamond"/>
        </w:rPr>
        <w:t xml:space="preserve">                        </w:t>
      </w:r>
      <w:bookmarkStart w:id="111" w:name="_Toc476713932"/>
      <w:r w:rsidRPr="008602B3">
        <w:rPr>
          <w:rFonts w:ascii="Garamond" w:hAnsi="Garamond"/>
        </w:rPr>
        <w:t>a report prepared for ERCA.</w:t>
      </w:r>
      <w:bookmarkEnd w:id="111"/>
      <w:r w:rsidRPr="008602B3">
        <w:rPr>
          <w:rFonts w:ascii="Garamond" w:hAnsi="Garamond"/>
        </w:rPr>
        <w:t xml:space="preserve"> </w:t>
      </w:r>
    </w:p>
    <w:p w:rsidR="00FA242B" w:rsidRDefault="00FA242B" w:rsidP="006E4D22">
      <w:pPr>
        <w:spacing w:after="0" w:line="240" w:lineRule="auto"/>
        <w:ind w:left="720" w:hanging="720"/>
        <w:rPr>
          <w:rFonts w:ascii="Garamond" w:hAnsi="Garamond"/>
          <w:sz w:val="24"/>
          <w:szCs w:val="24"/>
        </w:rPr>
      </w:pPr>
      <w:r w:rsidRPr="00EE4F4E">
        <w:rPr>
          <w:rFonts w:ascii="Garamond" w:hAnsi="Garamond"/>
          <w:sz w:val="24"/>
          <w:szCs w:val="24"/>
        </w:rPr>
        <w:t>M</w:t>
      </w:r>
      <w:r>
        <w:rPr>
          <w:rFonts w:ascii="Garamond" w:hAnsi="Garamond"/>
          <w:sz w:val="24"/>
          <w:szCs w:val="24"/>
        </w:rPr>
        <w:t>oFED</w:t>
      </w:r>
      <w:r w:rsidRPr="00EE4F4E">
        <w:rPr>
          <w:rFonts w:ascii="Garamond" w:hAnsi="Garamond"/>
          <w:sz w:val="24"/>
          <w:szCs w:val="24"/>
        </w:rPr>
        <w:t xml:space="preserve"> (2013), </w:t>
      </w:r>
      <w:r w:rsidRPr="00800D54">
        <w:rPr>
          <w:rFonts w:ascii="Garamond" w:hAnsi="Garamond"/>
          <w:i/>
          <w:sz w:val="24"/>
          <w:szCs w:val="24"/>
        </w:rPr>
        <w:t>Development and Poverty in Ethiopia: 1995/96-2010/11</w:t>
      </w:r>
      <w:r>
        <w:rPr>
          <w:rFonts w:ascii="Garamond" w:hAnsi="Garamond"/>
          <w:sz w:val="24"/>
          <w:szCs w:val="24"/>
        </w:rPr>
        <w:t>,</w:t>
      </w:r>
      <w:r w:rsidRPr="00EE4F4E">
        <w:rPr>
          <w:rFonts w:ascii="Garamond" w:hAnsi="Garamond"/>
          <w:sz w:val="24"/>
          <w:szCs w:val="24"/>
        </w:rPr>
        <w:t xml:space="preserve"> Addis Ababa.</w:t>
      </w:r>
    </w:p>
    <w:p w:rsidR="00726037" w:rsidRDefault="00726037" w:rsidP="006E4D22">
      <w:pPr>
        <w:spacing w:after="0" w:line="240" w:lineRule="auto"/>
        <w:ind w:left="720" w:hanging="720"/>
        <w:jc w:val="both"/>
        <w:rPr>
          <w:rFonts w:ascii="Garamond" w:hAnsi="Garamond"/>
          <w:sz w:val="24"/>
          <w:szCs w:val="24"/>
        </w:rPr>
      </w:pPr>
      <w:r>
        <w:rPr>
          <w:rFonts w:ascii="Garamond" w:hAnsi="Garamond"/>
          <w:sz w:val="24"/>
          <w:szCs w:val="24"/>
        </w:rPr>
        <w:t xml:space="preserve"> </w:t>
      </w:r>
      <w:r w:rsidRPr="00726037">
        <w:rPr>
          <w:rFonts w:ascii="Garamond" w:hAnsi="Garamond"/>
          <w:sz w:val="24"/>
          <w:szCs w:val="24"/>
        </w:rPr>
        <w:t>Müller</w:t>
      </w:r>
      <w:r>
        <w:rPr>
          <w:rFonts w:ascii="Garamond" w:hAnsi="Garamond"/>
          <w:sz w:val="24"/>
          <w:szCs w:val="24"/>
        </w:rPr>
        <w:t>, J. (2016),</w:t>
      </w:r>
      <w:r w:rsidRPr="00726037">
        <w:rPr>
          <w:rFonts w:ascii="Garamond" w:hAnsi="Garamond"/>
          <w:sz w:val="24"/>
          <w:szCs w:val="24"/>
        </w:rPr>
        <w:t xml:space="preserve"> Harnessing private </w:t>
      </w:r>
      <w:r>
        <w:rPr>
          <w:rFonts w:ascii="Garamond" w:hAnsi="Garamond"/>
          <w:sz w:val="24"/>
          <w:szCs w:val="24"/>
        </w:rPr>
        <w:t>f</w:t>
      </w:r>
      <w:r w:rsidRPr="00726037">
        <w:rPr>
          <w:rFonts w:ascii="Garamond" w:hAnsi="Garamond"/>
          <w:sz w:val="24"/>
          <w:szCs w:val="24"/>
        </w:rPr>
        <w:t>inance to attain public policy goals?</w:t>
      </w:r>
      <w:r>
        <w:rPr>
          <w:rFonts w:ascii="Garamond" w:hAnsi="Garamond"/>
          <w:sz w:val="24"/>
          <w:szCs w:val="24"/>
        </w:rPr>
        <w:t xml:space="preserve"> </w:t>
      </w:r>
      <w:r w:rsidRPr="00726037">
        <w:rPr>
          <w:rFonts w:ascii="Garamond" w:hAnsi="Garamond"/>
          <w:sz w:val="24"/>
          <w:szCs w:val="24"/>
        </w:rPr>
        <w:t>How governments try to involve the private sector in times of austerity and what risks this entails</w:t>
      </w:r>
      <w:r>
        <w:rPr>
          <w:rFonts w:ascii="Garamond" w:hAnsi="Garamond"/>
          <w:sz w:val="24"/>
          <w:szCs w:val="24"/>
        </w:rPr>
        <w:t xml:space="preserve">? </w:t>
      </w:r>
      <w:r w:rsidRPr="00726037">
        <w:rPr>
          <w:rFonts w:ascii="Garamond" w:hAnsi="Garamond"/>
          <w:sz w:val="24"/>
          <w:szCs w:val="24"/>
        </w:rPr>
        <w:t>Rosa-Luxemburg-Stiftung</w:t>
      </w:r>
      <w:r w:rsidR="00FB5725">
        <w:rPr>
          <w:rFonts w:ascii="Garamond" w:hAnsi="Garamond"/>
          <w:sz w:val="24"/>
          <w:szCs w:val="24"/>
        </w:rPr>
        <w:t>.</w:t>
      </w:r>
    </w:p>
    <w:p w:rsidR="00E16D84" w:rsidRDefault="0097532B" w:rsidP="006E4D22">
      <w:pPr>
        <w:spacing w:after="0" w:line="240" w:lineRule="auto"/>
        <w:ind w:left="720" w:hanging="720"/>
        <w:jc w:val="both"/>
        <w:rPr>
          <w:rFonts w:ascii="Garamond" w:hAnsi="Garamond"/>
          <w:sz w:val="24"/>
          <w:szCs w:val="24"/>
        </w:rPr>
      </w:pPr>
      <w:r>
        <w:rPr>
          <w:rFonts w:ascii="Garamond" w:hAnsi="Garamond"/>
          <w:sz w:val="24"/>
          <w:szCs w:val="24"/>
        </w:rPr>
        <w:t>NPC (2016</w:t>
      </w:r>
      <w:r w:rsidR="00E16D84">
        <w:rPr>
          <w:rFonts w:ascii="Garamond" w:hAnsi="Garamond"/>
          <w:sz w:val="24"/>
          <w:szCs w:val="24"/>
        </w:rPr>
        <w:t xml:space="preserve">), </w:t>
      </w:r>
      <w:r w:rsidR="00E16D84" w:rsidRPr="00EA22D3">
        <w:rPr>
          <w:rFonts w:ascii="Garamond" w:hAnsi="Garamond"/>
          <w:sz w:val="24"/>
          <w:szCs w:val="24"/>
        </w:rPr>
        <w:t>Growth and Transformation Plan II (GTP II) (2015/16-2019/20): Main Text</w:t>
      </w:r>
      <w:r w:rsidR="00E16D84">
        <w:rPr>
          <w:rFonts w:ascii="Garamond" w:hAnsi="Garamond"/>
          <w:sz w:val="24"/>
          <w:szCs w:val="24"/>
        </w:rPr>
        <w:t xml:space="preserve">, Volume I, Addis Ababa, Ethiopia. </w:t>
      </w:r>
    </w:p>
    <w:p w:rsidR="00B30074" w:rsidRDefault="00F03821" w:rsidP="006E4D22">
      <w:pPr>
        <w:spacing w:after="0" w:line="240" w:lineRule="auto"/>
        <w:ind w:left="720" w:hanging="720"/>
        <w:jc w:val="both"/>
        <w:rPr>
          <w:rFonts w:ascii="Garamond" w:hAnsi="Garamond"/>
          <w:sz w:val="24"/>
          <w:szCs w:val="24"/>
        </w:rPr>
      </w:pPr>
      <w:r w:rsidRPr="00F03821">
        <w:rPr>
          <w:rFonts w:ascii="Garamond" w:hAnsi="Garamond"/>
          <w:sz w:val="24"/>
          <w:szCs w:val="24"/>
        </w:rPr>
        <w:t>Schmidt-Traub</w:t>
      </w:r>
      <w:r>
        <w:rPr>
          <w:rFonts w:ascii="Garamond" w:hAnsi="Garamond"/>
          <w:sz w:val="24"/>
          <w:szCs w:val="24"/>
        </w:rPr>
        <w:t>, G.</w:t>
      </w:r>
      <w:r w:rsidRPr="00F03821">
        <w:rPr>
          <w:rFonts w:ascii="Garamond" w:hAnsi="Garamond"/>
          <w:sz w:val="24"/>
          <w:szCs w:val="24"/>
        </w:rPr>
        <w:t xml:space="preserve"> and Sachs</w:t>
      </w:r>
      <w:r>
        <w:rPr>
          <w:rFonts w:ascii="Garamond" w:hAnsi="Garamond"/>
          <w:sz w:val="24"/>
          <w:szCs w:val="24"/>
        </w:rPr>
        <w:t>,</w:t>
      </w:r>
      <w:r w:rsidR="001A7DFB">
        <w:rPr>
          <w:rFonts w:ascii="Garamond" w:hAnsi="Garamond"/>
          <w:sz w:val="24"/>
          <w:szCs w:val="24"/>
        </w:rPr>
        <w:t xml:space="preserve"> </w:t>
      </w:r>
      <w:r>
        <w:rPr>
          <w:rFonts w:ascii="Garamond" w:hAnsi="Garamond"/>
          <w:sz w:val="24"/>
          <w:szCs w:val="24"/>
        </w:rPr>
        <w:t xml:space="preserve">J. (2015), </w:t>
      </w:r>
      <w:r w:rsidRPr="00F03821">
        <w:rPr>
          <w:rFonts w:ascii="Garamond" w:hAnsi="Garamond"/>
          <w:sz w:val="24"/>
          <w:szCs w:val="24"/>
        </w:rPr>
        <w:t>Roles of Public and Private</w:t>
      </w:r>
      <w:r>
        <w:rPr>
          <w:rFonts w:ascii="Garamond" w:hAnsi="Garamond"/>
          <w:sz w:val="24"/>
          <w:szCs w:val="24"/>
        </w:rPr>
        <w:t xml:space="preserve"> De</w:t>
      </w:r>
      <w:r w:rsidRPr="00F03821">
        <w:rPr>
          <w:rFonts w:ascii="Garamond" w:hAnsi="Garamond"/>
          <w:sz w:val="24"/>
          <w:szCs w:val="24"/>
        </w:rPr>
        <w:t>velopment Finance</w:t>
      </w:r>
      <w:r>
        <w:rPr>
          <w:rFonts w:ascii="Garamond" w:hAnsi="Garamond"/>
          <w:sz w:val="24"/>
          <w:szCs w:val="24"/>
        </w:rPr>
        <w:t>:</w:t>
      </w:r>
      <w:r w:rsidRPr="00F03821">
        <w:t xml:space="preserve"> </w:t>
      </w:r>
      <w:r w:rsidRPr="00F03821">
        <w:rPr>
          <w:rFonts w:ascii="Garamond" w:hAnsi="Garamond"/>
          <w:sz w:val="24"/>
          <w:szCs w:val="24"/>
        </w:rPr>
        <w:t>Issue Brief</w:t>
      </w:r>
      <w:r>
        <w:rPr>
          <w:rFonts w:ascii="Garamond" w:hAnsi="Garamond"/>
          <w:sz w:val="24"/>
          <w:szCs w:val="24"/>
        </w:rPr>
        <w:t xml:space="preserve">, Sustainable Development Solutions Network, a global initiative for the United Nations. </w:t>
      </w:r>
    </w:p>
    <w:p w:rsidR="00A64494" w:rsidRDefault="00A64494" w:rsidP="00A64494">
      <w:pPr>
        <w:spacing w:after="0" w:line="240" w:lineRule="auto"/>
        <w:ind w:left="720" w:hanging="720"/>
        <w:jc w:val="both"/>
        <w:rPr>
          <w:rFonts w:ascii="Garamond" w:hAnsi="Garamond"/>
          <w:sz w:val="24"/>
          <w:szCs w:val="24"/>
        </w:rPr>
      </w:pPr>
      <w:r w:rsidRPr="00A64494">
        <w:rPr>
          <w:rFonts w:ascii="Garamond" w:hAnsi="Garamond"/>
          <w:sz w:val="24"/>
          <w:szCs w:val="24"/>
        </w:rPr>
        <w:lastRenderedPageBreak/>
        <w:t>Shende</w:t>
      </w:r>
      <w:r>
        <w:rPr>
          <w:rFonts w:ascii="Garamond" w:hAnsi="Garamond"/>
          <w:sz w:val="24"/>
          <w:szCs w:val="24"/>
        </w:rPr>
        <w:t xml:space="preserve">, S. (2012), </w:t>
      </w:r>
      <w:r w:rsidRPr="00A64494">
        <w:rPr>
          <w:rFonts w:ascii="Garamond" w:hAnsi="Garamond"/>
          <w:sz w:val="24"/>
          <w:szCs w:val="24"/>
        </w:rPr>
        <w:t>I</w:t>
      </w:r>
      <w:r>
        <w:rPr>
          <w:rFonts w:ascii="Garamond" w:hAnsi="Garamond"/>
          <w:sz w:val="24"/>
          <w:szCs w:val="24"/>
        </w:rPr>
        <w:t xml:space="preserve">mproving financial resources mobilization in developing countries and economies in transition, </w:t>
      </w:r>
      <w:r w:rsidRPr="00A64494">
        <w:rPr>
          <w:rFonts w:ascii="Garamond" w:hAnsi="Garamond"/>
          <w:sz w:val="24"/>
          <w:szCs w:val="24"/>
        </w:rPr>
        <w:t>Department of Economic and Social Affairs</w:t>
      </w:r>
      <w:r>
        <w:rPr>
          <w:rFonts w:ascii="Garamond" w:hAnsi="Garamond"/>
          <w:sz w:val="24"/>
          <w:szCs w:val="24"/>
        </w:rPr>
        <w:t xml:space="preserve">, United Nations.  </w:t>
      </w:r>
    </w:p>
    <w:p w:rsidR="00B30074" w:rsidRPr="00EE4F4E" w:rsidRDefault="00B30074" w:rsidP="006E4D22">
      <w:pPr>
        <w:pStyle w:val="ListParagraph"/>
        <w:spacing w:after="0" w:line="240" w:lineRule="auto"/>
        <w:ind w:hanging="720"/>
        <w:jc w:val="both"/>
        <w:rPr>
          <w:rFonts w:ascii="Garamond" w:hAnsi="Garamond"/>
          <w:sz w:val="24"/>
          <w:szCs w:val="24"/>
        </w:rPr>
      </w:pPr>
      <w:r w:rsidRPr="00EE4F4E">
        <w:rPr>
          <w:rFonts w:ascii="Garamond" w:hAnsi="Garamond"/>
          <w:sz w:val="24"/>
          <w:szCs w:val="24"/>
        </w:rPr>
        <w:t>Woldehanna</w:t>
      </w:r>
      <w:r w:rsidR="00462ECA">
        <w:rPr>
          <w:rFonts w:ascii="Garamond" w:hAnsi="Garamond"/>
          <w:sz w:val="24"/>
          <w:szCs w:val="24"/>
        </w:rPr>
        <w:t>, T.</w:t>
      </w:r>
      <w:r w:rsidRPr="00EE4F4E">
        <w:rPr>
          <w:rFonts w:ascii="Garamond" w:hAnsi="Garamond"/>
          <w:sz w:val="24"/>
          <w:szCs w:val="24"/>
        </w:rPr>
        <w:t xml:space="preserve"> (2014), The Policy Environment for Linking Agriculture and Nutrition in Ethiopia. AgriDiet Working Paper 2.</w:t>
      </w:r>
    </w:p>
    <w:p w:rsidR="008046F4" w:rsidRDefault="00993B56" w:rsidP="006E4D22">
      <w:pPr>
        <w:spacing w:after="0" w:line="240" w:lineRule="auto"/>
        <w:ind w:left="720" w:hanging="720"/>
        <w:jc w:val="both"/>
        <w:rPr>
          <w:rFonts w:ascii="Garamond" w:hAnsi="Garamond"/>
          <w:sz w:val="24"/>
          <w:szCs w:val="24"/>
        </w:rPr>
      </w:pPr>
      <w:r w:rsidRPr="00C017D9">
        <w:rPr>
          <w:rFonts w:ascii="Garamond" w:hAnsi="Garamond"/>
          <w:sz w:val="24"/>
          <w:szCs w:val="24"/>
        </w:rPr>
        <w:t xml:space="preserve">UNDP and AFD (2016), Financing the SDGs in the Least Developed Countries (LDCs): Diversifying the Financing Tool-box and Managing Vulnerability. </w:t>
      </w:r>
    </w:p>
    <w:p w:rsidR="00AD7523" w:rsidRDefault="001A7534" w:rsidP="006E4D22">
      <w:pPr>
        <w:spacing w:after="0" w:line="240" w:lineRule="auto"/>
        <w:ind w:left="720" w:hanging="720"/>
        <w:jc w:val="both"/>
        <w:rPr>
          <w:rFonts w:ascii="Garamond" w:hAnsi="Garamond"/>
          <w:sz w:val="24"/>
          <w:szCs w:val="24"/>
        </w:rPr>
      </w:pPr>
      <w:r>
        <w:rPr>
          <w:rFonts w:ascii="Garamond" w:hAnsi="Garamond"/>
          <w:sz w:val="24"/>
          <w:szCs w:val="24"/>
        </w:rPr>
        <w:t>UNDP (2012), Prospects of non-traditional sources of development finance in Ethiopia, UNDP/Ethiopia No.1/2012.</w:t>
      </w:r>
    </w:p>
    <w:p w:rsidR="00D77FF2" w:rsidRPr="00D77FF2" w:rsidRDefault="00D77FF2" w:rsidP="00D77FF2">
      <w:pPr>
        <w:autoSpaceDE w:val="0"/>
        <w:autoSpaceDN w:val="0"/>
        <w:adjustRightInd w:val="0"/>
        <w:spacing w:after="0" w:line="240" w:lineRule="auto"/>
        <w:ind w:left="720" w:hanging="720"/>
        <w:jc w:val="both"/>
        <w:rPr>
          <w:rFonts w:ascii="Garamond" w:hAnsi="Garamond"/>
          <w:sz w:val="24"/>
          <w:szCs w:val="24"/>
        </w:rPr>
      </w:pPr>
      <w:r w:rsidRPr="00D77FF2">
        <w:rPr>
          <w:rFonts w:ascii="Garamond" w:hAnsi="Garamond"/>
          <w:sz w:val="24"/>
          <w:szCs w:val="24"/>
        </w:rPr>
        <w:t xml:space="preserve">UN, EU and Ministry of Planning and Investment of Viet Nam (2014), Development Finance for sustainable development goals in the middle income Viet Name: Financing Viet Nam’s Development: meeting the new challenges. </w:t>
      </w:r>
    </w:p>
    <w:p w:rsidR="00AD7523" w:rsidRDefault="00AD7523" w:rsidP="006E4D22">
      <w:pPr>
        <w:spacing w:after="0" w:line="240" w:lineRule="auto"/>
        <w:ind w:left="720" w:hanging="720"/>
        <w:jc w:val="both"/>
        <w:rPr>
          <w:rFonts w:ascii="Garamond" w:hAnsi="Garamond"/>
          <w:sz w:val="24"/>
          <w:szCs w:val="24"/>
        </w:rPr>
      </w:pPr>
      <w:r>
        <w:rPr>
          <w:rFonts w:ascii="Garamond" w:hAnsi="Garamond"/>
          <w:sz w:val="24"/>
          <w:szCs w:val="24"/>
        </w:rPr>
        <w:t xml:space="preserve">World Bank (2015), </w:t>
      </w:r>
      <w:r w:rsidRPr="00AD7523">
        <w:rPr>
          <w:rFonts w:ascii="Garamond" w:hAnsi="Garamond"/>
          <w:sz w:val="24"/>
          <w:szCs w:val="24"/>
        </w:rPr>
        <w:t>G</w:t>
      </w:r>
      <w:r>
        <w:rPr>
          <w:rFonts w:ascii="Garamond" w:hAnsi="Garamond"/>
          <w:sz w:val="24"/>
          <w:szCs w:val="24"/>
        </w:rPr>
        <w:t xml:space="preserve">lobal financial development Report </w:t>
      </w:r>
      <w:r w:rsidRPr="00AD7523">
        <w:rPr>
          <w:rFonts w:ascii="Garamond" w:hAnsi="Garamond"/>
          <w:sz w:val="24"/>
          <w:szCs w:val="24"/>
        </w:rPr>
        <w:t>2015/2016</w:t>
      </w:r>
      <w:r>
        <w:rPr>
          <w:rFonts w:ascii="Garamond" w:hAnsi="Garamond"/>
          <w:sz w:val="24"/>
          <w:szCs w:val="24"/>
        </w:rPr>
        <w:t>: Long-term Finance, Washington D.C.</w:t>
      </w:r>
    </w:p>
    <w:p w:rsidR="00EB55B7" w:rsidRDefault="00EB55B7" w:rsidP="006E4D22">
      <w:pPr>
        <w:spacing w:after="0" w:line="240" w:lineRule="auto"/>
        <w:ind w:left="720" w:hanging="720"/>
        <w:jc w:val="both"/>
        <w:rPr>
          <w:rFonts w:ascii="Garamond" w:hAnsi="Garamond"/>
          <w:sz w:val="24"/>
          <w:szCs w:val="24"/>
        </w:rPr>
      </w:pPr>
    </w:p>
    <w:p w:rsidR="00EB55B7" w:rsidRDefault="00EB55B7" w:rsidP="006E4D22">
      <w:pPr>
        <w:spacing w:after="0" w:line="240" w:lineRule="auto"/>
        <w:ind w:left="720" w:hanging="720"/>
        <w:jc w:val="both"/>
        <w:rPr>
          <w:rFonts w:ascii="Garamond" w:hAnsi="Garamond"/>
          <w:sz w:val="24"/>
          <w:szCs w:val="24"/>
        </w:rPr>
      </w:pPr>
    </w:p>
    <w:p w:rsidR="00EB55B7" w:rsidRPr="00DB5824" w:rsidRDefault="00DB5824" w:rsidP="00DB5824">
      <w:pPr>
        <w:pStyle w:val="Heading1"/>
        <w:jc w:val="center"/>
        <w:rPr>
          <w:rFonts w:ascii="Garamond" w:hAnsi="Garamond"/>
          <w:b/>
          <w:sz w:val="24"/>
          <w:szCs w:val="24"/>
        </w:rPr>
      </w:pPr>
      <w:bookmarkStart w:id="112" w:name="_Toc486782291"/>
      <w:r w:rsidRPr="00DB5824">
        <w:rPr>
          <w:rFonts w:ascii="Garamond" w:hAnsi="Garamond"/>
          <w:b/>
          <w:sz w:val="24"/>
          <w:szCs w:val="24"/>
        </w:rPr>
        <w:t>Annex</w:t>
      </w:r>
      <w:bookmarkEnd w:id="112"/>
    </w:p>
    <w:p w:rsidR="00EB55B7" w:rsidRDefault="00EB55B7" w:rsidP="00EB55B7">
      <w:pPr>
        <w:spacing w:after="0" w:line="240" w:lineRule="auto"/>
        <w:ind w:left="720" w:hanging="720"/>
        <w:jc w:val="center"/>
        <w:rPr>
          <w:rFonts w:ascii="Garamond" w:hAnsi="Garamond"/>
          <w:sz w:val="24"/>
          <w:szCs w:val="24"/>
        </w:rPr>
      </w:pPr>
      <w:r>
        <w:rPr>
          <w:rFonts w:ascii="Garamond" w:hAnsi="Garamond"/>
          <w:sz w:val="24"/>
          <w:szCs w:val="24"/>
        </w:rPr>
        <w:t>List of institutions consulted</w:t>
      </w:r>
    </w:p>
    <w:tbl>
      <w:tblPr>
        <w:tblW w:w="1158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047"/>
        <w:gridCol w:w="2790"/>
        <w:gridCol w:w="2880"/>
        <w:gridCol w:w="3240"/>
      </w:tblGrid>
      <w:tr w:rsidR="00565AC5" w:rsidRPr="001E03C5" w:rsidTr="00D11A1E">
        <w:trPr>
          <w:cantSplit/>
          <w:trHeight w:val="430"/>
          <w:tblHeader/>
        </w:trPr>
        <w:tc>
          <w:tcPr>
            <w:tcW w:w="630" w:type="dxa"/>
            <w:shd w:val="clear" w:color="auto" w:fill="auto"/>
          </w:tcPr>
          <w:p w:rsidR="00565AC5" w:rsidRPr="001E03C5" w:rsidRDefault="00565AC5" w:rsidP="006A6400">
            <w:pPr>
              <w:pStyle w:val="Header"/>
              <w:jc w:val="center"/>
              <w:rPr>
                <w:rFonts w:ascii="Garamond" w:hAnsi="Garamond"/>
                <w:b/>
                <w:bCs/>
              </w:rPr>
            </w:pPr>
          </w:p>
          <w:p w:rsidR="00565AC5" w:rsidRPr="001E03C5" w:rsidRDefault="00565AC5" w:rsidP="006A6400">
            <w:pPr>
              <w:pStyle w:val="Header"/>
              <w:jc w:val="center"/>
              <w:rPr>
                <w:rFonts w:ascii="Garamond" w:hAnsi="Garamond"/>
                <w:b/>
                <w:bCs/>
              </w:rPr>
            </w:pPr>
            <w:r w:rsidRPr="001E03C5">
              <w:rPr>
                <w:rFonts w:ascii="Garamond" w:hAnsi="Garamond"/>
                <w:b/>
                <w:bCs/>
              </w:rPr>
              <w:t>S/N</w:t>
            </w:r>
          </w:p>
        </w:tc>
        <w:tc>
          <w:tcPr>
            <w:tcW w:w="2047" w:type="dxa"/>
            <w:shd w:val="clear" w:color="auto" w:fill="auto"/>
          </w:tcPr>
          <w:p w:rsidR="00565AC5" w:rsidRPr="001E03C5" w:rsidRDefault="00565AC5" w:rsidP="006A6400">
            <w:pPr>
              <w:pStyle w:val="Header"/>
              <w:jc w:val="center"/>
              <w:rPr>
                <w:rFonts w:ascii="Garamond" w:hAnsi="Garamond"/>
                <w:b/>
                <w:bCs/>
              </w:rPr>
            </w:pPr>
          </w:p>
          <w:p w:rsidR="00565AC5" w:rsidRPr="001E03C5" w:rsidRDefault="00565AC5" w:rsidP="006A6400">
            <w:pPr>
              <w:pStyle w:val="Header"/>
              <w:jc w:val="center"/>
              <w:rPr>
                <w:rFonts w:ascii="Garamond" w:hAnsi="Garamond"/>
                <w:b/>
                <w:bCs/>
              </w:rPr>
            </w:pPr>
            <w:r w:rsidRPr="001E03C5">
              <w:rPr>
                <w:rFonts w:ascii="Garamond" w:hAnsi="Garamond"/>
                <w:b/>
                <w:bCs/>
              </w:rPr>
              <w:t>Organization</w:t>
            </w:r>
          </w:p>
        </w:tc>
        <w:tc>
          <w:tcPr>
            <w:tcW w:w="2790" w:type="dxa"/>
            <w:shd w:val="clear" w:color="auto" w:fill="auto"/>
          </w:tcPr>
          <w:p w:rsidR="00565AC5" w:rsidRPr="001E03C5" w:rsidRDefault="00565AC5" w:rsidP="006A6400">
            <w:pPr>
              <w:pStyle w:val="Header"/>
              <w:jc w:val="center"/>
              <w:rPr>
                <w:rFonts w:ascii="Garamond" w:hAnsi="Garamond"/>
                <w:b/>
                <w:bCs/>
              </w:rPr>
            </w:pPr>
          </w:p>
          <w:p w:rsidR="00565AC5" w:rsidRPr="001E03C5" w:rsidRDefault="00565AC5" w:rsidP="006A6400">
            <w:pPr>
              <w:pStyle w:val="Header"/>
              <w:jc w:val="center"/>
              <w:rPr>
                <w:rFonts w:ascii="Garamond" w:hAnsi="Garamond"/>
                <w:b/>
                <w:bCs/>
              </w:rPr>
            </w:pPr>
            <w:r w:rsidRPr="001E03C5">
              <w:rPr>
                <w:rFonts w:ascii="Garamond" w:hAnsi="Garamond"/>
                <w:b/>
                <w:bCs/>
              </w:rPr>
              <w:t>Name</w:t>
            </w:r>
          </w:p>
        </w:tc>
        <w:tc>
          <w:tcPr>
            <w:tcW w:w="2880" w:type="dxa"/>
            <w:shd w:val="clear" w:color="auto" w:fill="auto"/>
          </w:tcPr>
          <w:p w:rsidR="00565AC5" w:rsidRPr="001E03C5" w:rsidRDefault="00565AC5" w:rsidP="006A6400">
            <w:pPr>
              <w:pStyle w:val="Header"/>
              <w:jc w:val="center"/>
              <w:rPr>
                <w:rFonts w:ascii="Garamond" w:hAnsi="Garamond"/>
                <w:b/>
                <w:bCs/>
              </w:rPr>
            </w:pPr>
          </w:p>
          <w:p w:rsidR="00565AC5" w:rsidRPr="001E03C5" w:rsidRDefault="00565AC5" w:rsidP="006A6400">
            <w:pPr>
              <w:pStyle w:val="Header"/>
              <w:jc w:val="center"/>
              <w:rPr>
                <w:rFonts w:ascii="Garamond" w:hAnsi="Garamond"/>
                <w:b/>
                <w:bCs/>
              </w:rPr>
            </w:pPr>
            <w:r w:rsidRPr="001E03C5">
              <w:rPr>
                <w:rFonts w:ascii="Garamond" w:hAnsi="Garamond"/>
                <w:b/>
                <w:bCs/>
              </w:rPr>
              <w:t>Designation</w:t>
            </w:r>
          </w:p>
        </w:tc>
        <w:tc>
          <w:tcPr>
            <w:tcW w:w="3240" w:type="dxa"/>
            <w:shd w:val="clear" w:color="auto" w:fill="auto"/>
          </w:tcPr>
          <w:p w:rsidR="00565AC5" w:rsidRPr="001E03C5" w:rsidRDefault="00565AC5" w:rsidP="006A6400">
            <w:pPr>
              <w:pStyle w:val="Header"/>
              <w:jc w:val="center"/>
              <w:rPr>
                <w:rFonts w:ascii="Garamond" w:hAnsi="Garamond"/>
                <w:b/>
                <w:bCs/>
              </w:rPr>
            </w:pPr>
          </w:p>
          <w:p w:rsidR="00565AC5" w:rsidRPr="001E03C5" w:rsidRDefault="00565AC5" w:rsidP="006A6400">
            <w:pPr>
              <w:pStyle w:val="Header"/>
              <w:jc w:val="center"/>
              <w:rPr>
                <w:rFonts w:ascii="Garamond" w:hAnsi="Garamond"/>
                <w:b/>
                <w:bCs/>
              </w:rPr>
            </w:pPr>
            <w:r w:rsidRPr="001E03C5">
              <w:rPr>
                <w:rFonts w:ascii="Garamond" w:hAnsi="Garamond"/>
                <w:b/>
                <w:bCs/>
              </w:rPr>
              <w:t>e-mail</w:t>
            </w:r>
          </w:p>
        </w:tc>
      </w:tr>
      <w:tr w:rsidR="00565AC5" w:rsidRPr="001E03C5" w:rsidTr="00D11A1E">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African Development Bank</w:t>
            </w: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Dr.Edward B.Sennoga</w:t>
            </w:r>
          </w:p>
          <w:p w:rsidR="00565AC5" w:rsidRPr="001E03C5" w:rsidRDefault="00565AC5" w:rsidP="006A6400">
            <w:pPr>
              <w:pStyle w:val="Header"/>
              <w:rPr>
                <w:rFonts w:ascii="Garamond" w:hAnsi="Garamond"/>
              </w:rPr>
            </w:pPr>
          </w:p>
        </w:tc>
        <w:tc>
          <w:tcPr>
            <w:tcW w:w="288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Chief Country Economist </w:t>
            </w:r>
          </w:p>
        </w:tc>
        <w:tc>
          <w:tcPr>
            <w:tcW w:w="3240" w:type="dxa"/>
            <w:shd w:val="clear" w:color="auto" w:fill="auto"/>
            <w:vAlign w:val="center"/>
          </w:tcPr>
          <w:p w:rsidR="00565AC5" w:rsidRPr="001E03C5" w:rsidRDefault="00702115" w:rsidP="00A43F51">
            <w:pPr>
              <w:autoSpaceDE w:val="0"/>
              <w:autoSpaceDN w:val="0"/>
              <w:adjustRightInd w:val="0"/>
              <w:spacing w:after="0" w:line="240" w:lineRule="auto"/>
              <w:rPr>
                <w:rStyle w:val="Hyperlink"/>
                <w:rFonts w:ascii="Garamond" w:hAnsi="Garamond"/>
              </w:rPr>
            </w:pPr>
            <w:hyperlink r:id="rId45" w:history="1">
              <w:r w:rsidR="00565AC5" w:rsidRPr="001E03C5">
                <w:rPr>
                  <w:rStyle w:val="Hyperlink"/>
                  <w:rFonts w:ascii="Garamond" w:hAnsi="Garamond"/>
                </w:rPr>
                <w:t>e.sennoga@afdb.org</w:t>
              </w:r>
            </w:hyperlink>
          </w:p>
        </w:tc>
      </w:tr>
      <w:tr w:rsidR="00565AC5" w:rsidRPr="001E03C5" w:rsidTr="00D11A1E">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DFID</w:t>
            </w: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Ms.Claire Bell</w:t>
            </w:r>
          </w:p>
        </w:tc>
        <w:tc>
          <w:tcPr>
            <w:tcW w:w="288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Economic Adviser</w:t>
            </w:r>
          </w:p>
        </w:tc>
        <w:tc>
          <w:tcPr>
            <w:tcW w:w="3240" w:type="dxa"/>
            <w:shd w:val="clear" w:color="auto" w:fill="auto"/>
            <w:vAlign w:val="center"/>
          </w:tcPr>
          <w:p w:rsidR="00565AC5" w:rsidRPr="00173A9D" w:rsidRDefault="00702115" w:rsidP="006A6400">
            <w:pPr>
              <w:autoSpaceDE w:val="0"/>
              <w:autoSpaceDN w:val="0"/>
              <w:adjustRightInd w:val="0"/>
              <w:spacing w:after="0" w:line="240" w:lineRule="auto"/>
              <w:rPr>
                <w:rStyle w:val="Hyperlink"/>
                <w:rFonts w:ascii="Garamond" w:hAnsi="Garamond"/>
              </w:rPr>
            </w:pPr>
            <w:hyperlink r:id="rId46" w:history="1">
              <w:r w:rsidR="00565AC5" w:rsidRPr="00173A9D">
                <w:rPr>
                  <w:rStyle w:val="Hyperlink"/>
                  <w:rFonts w:ascii="Garamond" w:hAnsi="Garamond"/>
                </w:rPr>
                <w:t>c-bell@dfid.gov.uk</w:t>
              </w:r>
            </w:hyperlink>
          </w:p>
        </w:tc>
      </w:tr>
      <w:tr w:rsidR="00565AC5" w:rsidRPr="001E03C5" w:rsidTr="00A43F51">
        <w:trPr>
          <w:trHeight w:val="503"/>
        </w:trPr>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European Union </w:t>
            </w:r>
          </w:p>
        </w:tc>
        <w:tc>
          <w:tcPr>
            <w:tcW w:w="2790" w:type="dxa"/>
            <w:shd w:val="clear" w:color="auto" w:fill="auto"/>
            <w:vAlign w:val="center"/>
          </w:tcPr>
          <w:p w:rsidR="00565AC5" w:rsidRPr="001E03C5" w:rsidRDefault="00565AC5" w:rsidP="00E9158D">
            <w:pPr>
              <w:spacing w:after="0" w:line="240" w:lineRule="auto"/>
              <w:rPr>
                <w:rFonts w:ascii="Garamond" w:hAnsi="Garamond"/>
              </w:rPr>
            </w:pPr>
            <w:r w:rsidRPr="001E03C5">
              <w:rPr>
                <w:rFonts w:ascii="Garamond" w:hAnsi="Garamond"/>
              </w:rPr>
              <w:t>Dr.Fran</w:t>
            </w:r>
            <w:r w:rsidR="00E9158D">
              <w:rPr>
                <w:rFonts w:ascii="Garamond" w:hAnsi="Garamond"/>
              </w:rPr>
              <w:t>cisco</w:t>
            </w:r>
            <w:r w:rsidRPr="001E03C5">
              <w:rPr>
                <w:rFonts w:ascii="Garamond" w:hAnsi="Garamond"/>
              </w:rPr>
              <w:t xml:space="preserve"> Carr</w:t>
            </w:r>
            <w:r w:rsidR="00E9158D">
              <w:rPr>
                <w:rFonts w:ascii="Garamond" w:hAnsi="Garamond"/>
              </w:rPr>
              <w:t>eras</w:t>
            </w:r>
            <w:r w:rsidRPr="001E03C5">
              <w:rPr>
                <w:rFonts w:ascii="Garamond" w:hAnsi="Garamond"/>
              </w:rPr>
              <w:t xml:space="preserve"> </w:t>
            </w:r>
          </w:p>
        </w:tc>
        <w:tc>
          <w:tcPr>
            <w:tcW w:w="288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Minister Counsellor</w:t>
            </w:r>
          </w:p>
        </w:tc>
        <w:tc>
          <w:tcPr>
            <w:tcW w:w="3240" w:type="dxa"/>
            <w:shd w:val="clear" w:color="auto" w:fill="auto"/>
            <w:vAlign w:val="center"/>
          </w:tcPr>
          <w:p w:rsidR="00565AC5" w:rsidRPr="001E03C5" w:rsidRDefault="00565AC5" w:rsidP="00A43F51">
            <w:pPr>
              <w:autoSpaceDE w:val="0"/>
              <w:autoSpaceDN w:val="0"/>
              <w:adjustRightInd w:val="0"/>
              <w:spacing w:after="0" w:line="240" w:lineRule="auto"/>
              <w:rPr>
                <w:rStyle w:val="Hyperlink"/>
                <w:rFonts w:ascii="Garamond" w:hAnsi="Garamond"/>
              </w:rPr>
            </w:pPr>
            <w:r w:rsidRPr="001E03C5">
              <w:rPr>
                <w:rStyle w:val="Hyperlink"/>
                <w:rFonts w:ascii="Garamond" w:hAnsi="Garamond"/>
              </w:rPr>
              <w:t>franssisco.carrasco</w:t>
            </w:r>
            <w:hyperlink r:id="rId47" w:history="1">
              <w:r w:rsidRPr="001E03C5">
                <w:rPr>
                  <w:rStyle w:val="Hyperlink"/>
                  <w:rFonts w:ascii="Garamond" w:hAnsi="Garamond"/>
                </w:rPr>
                <w:t>@eeas.europa.eu</w:t>
              </w:r>
            </w:hyperlink>
          </w:p>
        </w:tc>
      </w:tr>
      <w:tr w:rsidR="00BD0003" w:rsidRPr="001E03C5" w:rsidTr="00D11A1E">
        <w:tc>
          <w:tcPr>
            <w:tcW w:w="630" w:type="dxa"/>
            <w:shd w:val="clear" w:color="auto" w:fill="auto"/>
            <w:vAlign w:val="center"/>
          </w:tcPr>
          <w:p w:rsidR="00BD0003" w:rsidRPr="001E03C5" w:rsidRDefault="00BD0003" w:rsidP="00F82810">
            <w:pPr>
              <w:pStyle w:val="Header"/>
              <w:numPr>
                <w:ilvl w:val="0"/>
                <w:numId w:val="28"/>
              </w:numPr>
              <w:tabs>
                <w:tab w:val="clear" w:pos="4680"/>
                <w:tab w:val="clear" w:pos="9360"/>
              </w:tabs>
              <w:rPr>
                <w:rFonts w:ascii="Garamond" w:hAnsi="Garamond"/>
              </w:rPr>
            </w:pPr>
          </w:p>
        </w:tc>
        <w:tc>
          <w:tcPr>
            <w:tcW w:w="2047" w:type="dxa"/>
            <w:vMerge w:val="restart"/>
            <w:shd w:val="clear" w:color="auto" w:fill="auto"/>
            <w:vAlign w:val="center"/>
          </w:tcPr>
          <w:p w:rsidR="00BD0003" w:rsidRPr="001E03C5" w:rsidRDefault="00BD0003" w:rsidP="006A6400">
            <w:pPr>
              <w:pStyle w:val="Header"/>
              <w:rPr>
                <w:rFonts w:ascii="Garamond" w:hAnsi="Garamond"/>
              </w:rPr>
            </w:pPr>
            <w:r w:rsidRPr="001E03C5">
              <w:rPr>
                <w:rFonts w:ascii="Garamond" w:hAnsi="Garamond"/>
              </w:rPr>
              <w:t>Norway</w:t>
            </w:r>
          </w:p>
        </w:tc>
        <w:tc>
          <w:tcPr>
            <w:tcW w:w="2790" w:type="dxa"/>
            <w:shd w:val="clear" w:color="auto" w:fill="auto"/>
            <w:vAlign w:val="center"/>
          </w:tcPr>
          <w:p w:rsidR="00BD0003" w:rsidRPr="001E03C5" w:rsidRDefault="00BD0003" w:rsidP="006A6400">
            <w:pPr>
              <w:pStyle w:val="Header"/>
              <w:rPr>
                <w:rFonts w:ascii="Garamond" w:hAnsi="Garamond"/>
              </w:rPr>
            </w:pPr>
            <w:r w:rsidRPr="001E03C5">
              <w:rPr>
                <w:rFonts w:ascii="Garamond" w:hAnsi="Garamond"/>
              </w:rPr>
              <w:t xml:space="preserve">Dr.Morten Heide </w:t>
            </w:r>
          </w:p>
        </w:tc>
        <w:tc>
          <w:tcPr>
            <w:tcW w:w="2880" w:type="dxa"/>
            <w:shd w:val="clear" w:color="auto" w:fill="auto"/>
            <w:vAlign w:val="center"/>
          </w:tcPr>
          <w:p w:rsidR="00BD0003" w:rsidRPr="001E03C5" w:rsidRDefault="00BD0003" w:rsidP="006A6400">
            <w:pPr>
              <w:pStyle w:val="Header"/>
              <w:rPr>
                <w:rFonts w:ascii="Garamond" w:hAnsi="Garamond"/>
              </w:rPr>
            </w:pPr>
            <w:r w:rsidRPr="001E03C5">
              <w:rPr>
                <w:rFonts w:ascii="Garamond" w:hAnsi="Garamond"/>
              </w:rPr>
              <w:t>Counsellor, Head of Development Cooperation</w:t>
            </w:r>
          </w:p>
        </w:tc>
        <w:tc>
          <w:tcPr>
            <w:tcW w:w="3240" w:type="dxa"/>
            <w:shd w:val="clear" w:color="auto" w:fill="auto"/>
            <w:vAlign w:val="center"/>
          </w:tcPr>
          <w:p w:rsidR="00BD0003" w:rsidRPr="001E03C5" w:rsidRDefault="00702115" w:rsidP="006A6400">
            <w:pPr>
              <w:autoSpaceDE w:val="0"/>
              <w:autoSpaceDN w:val="0"/>
              <w:adjustRightInd w:val="0"/>
              <w:spacing w:after="0" w:line="240" w:lineRule="auto"/>
              <w:rPr>
                <w:rStyle w:val="Hyperlink"/>
                <w:rFonts w:ascii="Garamond" w:hAnsi="Garamond"/>
              </w:rPr>
            </w:pPr>
            <w:hyperlink r:id="rId48" w:history="1">
              <w:r w:rsidR="00BD0003" w:rsidRPr="001E03C5">
                <w:rPr>
                  <w:rStyle w:val="Hyperlink"/>
                  <w:rFonts w:ascii="Garamond" w:hAnsi="Garamond"/>
                </w:rPr>
                <w:t>Morten.Heide@mfa.no</w:t>
              </w:r>
            </w:hyperlink>
            <w:r w:rsidR="00BD0003" w:rsidRPr="001E03C5">
              <w:rPr>
                <w:rFonts w:ascii="Garamond" w:hAnsi="Garamond"/>
              </w:rPr>
              <w:t xml:space="preserve"> </w:t>
            </w:r>
          </w:p>
        </w:tc>
      </w:tr>
      <w:tr w:rsidR="0010548A" w:rsidRPr="001E03C5" w:rsidTr="00D11A1E">
        <w:tc>
          <w:tcPr>
            <w:tcW w:w="630" w:type="dxa"/>
            <w:shd w:val="clear" w:color="auto" w:fill="auto"/>
            <w:vAlign w:val="center"/>
          </w:tcPr>
          <w:p w:rsidR="0010548A" w:rsidRPr="001E03C5" w:rsidRDefault="0010548A"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10548A" w:rsidRPr="001E03C5" w:rsidRDefault="0010548A" w:rsidP="006A6400">
            <w:pPr>
              <w:pStyle w:val="Header"/>
              <w:rPr>
                <w:rFonts w:ascii="Garamond" w:hAnsi="Garamond"/>
              </w:rPr>
            </w:pPr>
          </w:p>
        </w:tc>
        <w:tc>
          <w:tcPr>
            <w:tcW w:w="2790" w:type="dxa"/>
            <w:shd w:val="clear" w:color="auto" w:fill="auto"/>
            <w:vAlign w:val="center"/>
          </w:tcPr>
          <w:p w:rsidR="0010548A" w:rsidRDefault="0010548A" w:rsidP="006A6400">
            <w:pPr>
              <w:pStyle w:val="Header"/>
              <w:rPr>
                <w:rFonts w:ascii="Garamond" w:hAnsi="Garamond"/>
              </w:rPr>
            </w:pPr>
            <w:r>
              <w:rPr>
                <w:rFonts w:ascii="Garamond" w:hAnsi="Garamond"/>
              </w:rPr>
              <w:t xml:space="preserve">Mrs.Marianne Johansen </w:t>
            </w:r>
          </w:p>
        </w:tc>
        <w:tc>
          <w:tcPr>
            <w:tcW w:w="2880" w:type="dxa"/>
            <w:shd w:val="clear" w:color="auto" w:fill="auto"/>
            <w:vAlign w:val="center"/>
          </w:tcPr>
          <w:p w:rsidR="0010548A" w:rsidRDefault="0010548A" w:rsidP="006A6400">
            <w:pPr>
              <w:pStyle w:val="Header"/>
              <w:rPr>
                <w:rFonts w:ascii="Garamond" w:hAnsi="Garamond"/>
              </w:rPr>
            </w:pPr>
            <w:r>
              <w:rPr>
                <w:rFonts w:ascii="Garamond" w:hAnsi="Garamond"/>
              </w:rPr>
              <w:t xml:space="preserve">Climate and Forest Counselor </w:t>
            </w:r>
          </w:p>
        </w:tc>
        <w:tc>
          <w:tcPr>
            <w:tcW w:w="3240" w:type="dxa"/>
            <w:shd w:val="clear" w:color="auto" w:fill="auto"/>
            <w:vAlign w:val="center"/>
          </w:tcPr>
          <w:p w:rsidR="006D7E85" w:rsidRPr="00D11A1E" w:rsidRDefault="00702115" w:rsidP="00A43F51">
            <w:pPr>
              <w:autoSpaceDE w:val="0"/>
              <w:autoSpaceDN w:val="0"/>
              <w:adjustRightInd w:val="0"/>
              <w:spacing w:after="0" w:line="240" w:lineRule="auto"/>
              <w:rPr>
                <w:rFonts w:ascii="Garamond" w:hAnsi="Garamond"/>
              </w:rPr>
            </w:pPr>
            <w:hyperlink r:id="rId49" w:history="1">
              <w:r w:rsidR="006D7E85" w:rsidRPr="00D11A1E">
                <w:rPr>
                  <w:rStyle w:val="Hyperlink"/>
                  <w:rFonts w:ascii="Garamond" w:hAnsi="Garamond"/>
                </w:rPr>
                <w:t>Marianne.johansen@mfa.no</w:t>
              </w:r>
            </w:hyperlink>
          </w:p>
        </w:tc>
      </w:tr>
      <w:tr w:rsidR="00BD0003" w:rsidRPr="001E03C5" w:rsidTr="00D11A1E">
        <w:tc>
          <w:tcPr>
            <w:tcW w:w="630" w:type="dxa"/>
            <w:shd w:val="clear" w:color="auto" w:fill="auto"/>
            <w:vAlign w:val="center"/>
          </w:tcPr>
          <w:p w:rsidR="00BD0003" w:rsidRPr="001E03C5" w:rsidRDefault="00BD0003"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BD0003" w:rsidRPr="001E03C5" w:rsidRDefault="00BD0003" w:rsidP="006A6400">
            <w:pPr>
              <w:pStyle w:val="Header"/>
              <w:rPr>
                <w:rFonts w:ascii="Garamond" w:hAnsi="Garamond"/>
              </w:rPr>
            </w:pPr>
          </w:p>
        </w:tc>
        <w:tc>
          <w:tcPr>
            <w:tcW w:w="2790" w:type="dxa"/>
            <w:shd w:val="clear" w:color="auto" w:fill="auto"/>
            <w:vAlign w:val="center"/>
          </w:tcPr>
          <w:p w:rsidR="00BD0003" w:rsidRPr="001E03C5" w:rsidRDefault="00BD0003" w:rsidP="006A6400">
            <w:pPr>
              <w:pStyle w:val="Header"/>
              <w:rPr>
                <w:rFonts w:ascii="Garamond" w:hAnsi="Garamond"/>
              </w:rPr>
            </w:pPr>
            <w:r>
              <w:rPr>
                <w:rFonts w:ascii="Garamond" w:hAnsi="Garamond"/>
              </w:rPr>
              <w:t>Mr.Lulu</w:t>
            </w:r>
            <w:r w:rsidR="00626C2C">
              <w:rPr>
                <w:rFonts w:ascii="Garamond" w:hAnsi="Garamond"/>
              </w:rPr>
              <w:t xml:space="preserve"> Likassa</w:t>
            </w:r>
          </w:p>
        </w:tc>
        <w:tc>
          <w:tcPr>
            <w:tcW w:w="2880" w:type="dxa"/>
            <w:shd w:val="clear" w:color="auto" w:fill="auto"/>
            <w:vAlign w:val="center"/>
          </w:tcPr>
          <w:p w:rsidR="00BD0003" w:rsidRPr="001E03C5" w:rsidRDefault="00626C2C" w:rsidP="006A6400">
            <w:pPr>
              <w:pStyle w:val="Header"/>
              <w:rPr>
                <w:rFonts w:ascii="Garamond" w:hAnsi="Garamond"/>
              </w:rPr>
            </w:pPr>
            <w:r>
              <w:rPr>
                <w:rFonts w:ascii="Garamond" w:hAnsi="Garamond"/>
              </w:rPr>
              <w:t>Programme Officer</w:t>
            </w:r>
          </w:p>
        </w:tc>
        <w:tc>
          <w:tcPr>
            <w:tcW w:w="3240" w:type="dxa"/>
            <w:shd w:val="clear" w:color="auto" w:fill="auto"/>
            <w:vAlign w:val="center"/>
          </w:tcPr>
          <w:p w:rsidR="006D7E85" w:rsidRPr="00D11A1E" w:rsidRDefault="00702115" w:rsidP="00A43F51">
            <w:pPr>
              <w:autoSpaceDE w:val="0"/>
              <w:autoSpaceDN w:val="0"/>
              <w:adjustRightInd w:val="0"/>
              <w:spacing w:after="0" w:line="240" w:lineRule="auto"/>
              <w:rPr>
                <w:rFonts w:ascii="Garamond" w:hAnsi="Garamond"/>
              </w:rPr>
            </w:pPr>
            <w:hyperlink r:id="rId50" w:history="1">
              <w:r w:rsidR="006D7E85" w:rsidRPr="00D11A1E">
                <w:rPr>
                  <w:rStyle w:val="Hyperlink"/>
                  <w:rFonts w:ascii="Garamond" w:hAnsi="Garamond"/>
                </w:rPr>
                <w:t>Lulu.likassa.nefabas@mfa.no</w:t>
              </w:r>
            </w:hyperlink>
          </w:p>
        </w:tc>
      </w:tr>
      <w:tr w:rsidR="00BD0003" w:rsidRPr="001E03C5" w:rsidTr="00D11A1E">
        <w:tc>
          <w:tcPr>
            <w:tcW w:w="630" w:type="dxa"/>
            <w:shd w:val="clear" w:color="auto" w:fill="auto"/>
            <w:vAlign w:val="center"/>
          </w:tcPr>
          <w:p w:rsidR="00BD0003" w:rsidRPr="001E03C5" w:rsidRDefault="00BD0003"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BD0003" w:rsidRPr="001E03C5" w:rsidRDefault="00BD0003" w:rsidP="006A6400">
            <w:pPr>
              <w:pStyle w:val="Header"/>
              <w:rPr>
                <w:rFonts w:ascii="Garamond" w:hAnsi="Garamond"/>
              </w:rPr>
            </w:pPr>
          </w:p>
        </w:tc>
        <w:tc>
          <w:tcPr>
            <w:tcW w:w="2790" w:type="dxa"/>
            <w:shd w:val="clear" w:color="auto" w:fill="auto"/>
            <w:vAlign w:val="center"/>
          </w:tcPr>
          <w:p w:rsidR="00BD0003" w:rsidRDefault="00BD0003" w:rsidP="0064111E">
            <w:pPr>
              <w:pStyle w:val="Header"/>
              <w:rPr>
                <w:rFonts w:ascii="Garamond" w:hAnsi="Garamond"/>
              </w:rPr>
            </w:pPr>
            <w:r>
              <w:rPr>
                <w:rFonts w:ascii="Garamond" w:hAnsi="Garamond"/>
              </w:rPr>
              <w:t xml:space="preserve">Mrs.Tsehay </w:t>
            </w:r>
            <w:r w:rsidR="00281E8E">
              <w:rPr>
                <w:rFonts w:ascii="Garamond" w:hAnsi="Garamond"/>
              </w:rPr>
              <w:t>Ataklt</w:t>
            </w:r>
          </w:p>
        </w:tc>
        <w:tc>
          <w:tcPr>
            <w:tcW w:w="2880" w:type="dxa"/>
            <w:shd w:val="clear" w:color="auto" w:fill="auto"/>
            <w:vAlign w:val="center"/>
          </w:tcPr>
          <w:p w:rsidR="00BD0003" w:rsidRPr="001E03C5" w:rsidRDefault="00626C2C" w:rsidP="006A6400">
            <w:pPr>
              <w:pStyle w:val="Header"/>
              <w:rPr>
                <w:rFonts w:ascii="Garamond" w:hAnsi="Garamond"/>
              </w:rPr>
            </w:pPr>
            <w:r>
              <w:rPr>
                <w:rFonts w:ascii="Garamond" w:hAnsi="Garamond"/>
              </w:rPr>
              <w:t>Programme Officer</w:t>
            </w:r>
          </w:p>
        </w:tc>
        <w:tc>
          <w:tcPr>
            <w:tcW w:w="3240" w:type="dxa"/>
            <w:shd w:val="clear" w:color="auto" w:fill="auto"/>
            <w:vAlign w:val="center"/>
          </w:tcPr>
          <w:p w:rsidR="006D7E85" w:rsidRPr="00D11A1E" w:rsidRDefault="00702115" w:rsidP="00A43F51">
            <w:pPr>
              <w:autoSpaceDE w:val="0"/>
              <w:autoSpaceDN w:val="0"/>
              <w:adjustRightInd w:val="0"/>
              <w:spacing w:after="0" w:line="240" w:lineRule="auto"/>
              <w:rPr>
                <w:rFonts w:ascii="Garamond" w:hAnsi="Garamond"/>
              </w:rPr>
            </w:pPr>
            <w:hyperlink r:id="rId51" w:history="1">
              <w:r w:rsidR="006D7E85" w:rsidRPr="00D11A1E">
                <w:rPr>
                  <w:rStyle w:val="Hyperlink"/>
                  <w:rFonts w:ascii="Garamond" w:hAnsi="Garamond"/>
                </w:rPr>
                <w:t>Tsehay.ataklt.hailemichael@mfa.no</w:t>
              </w:r>
            </w:hyperlink>
          </w:p>
        </w:tc>
      </w:tr>
      <w:tr w:rsidR="00BD0003" w:rsidRPr="001E03C5" w:rsidTr="00A43F51">
        <w:trPr>
          <w:trHeight w:val="341"/>
        </w:trPr>
        <w:tc>
          <w:tcPr>
            <w:tcW w:w="630" w:type="dxa"/>
            <w:shd w:val="clear" w:color="auto" w:fill="auto"/>
            <w:vAlign w:val="center"/>
          </w:tcPr>
          <w:p w:rsidR="00BD0003" w:rsidRPr="001E03C5" w:rsidRDefault="00BD0003"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BD0003" w:rsidRPr="001E03C5" w:rsidRDefault="00BD0003" w:rsidP="006A6400">
            <w:pPr>
              <w:pStyle w:val="Header"/>
              <w:rPr>
                <w:rFonts w:ascii="Garamond" w:hAnsi="Garamond"/>
              </w:rPr>
            </w:pPr>
          </w:p>
        </w:tc>
        <w:tc>
          <w:tcPr>
            <w:tcW w:w="2790" w:type="dxa"/>
            <w:shd w:val="clear" w:color="auto" w:fill="auto"/>
            <w:vAlign w:val="center"/>
          </w:tcPr>
          <w:p w:rsidR="00BD0003" w:rsidRDefault="00BD0003" w:rsidP="006A6400">
            <w:pPr>
              <w:pStyle w:val="Header"/>
              <w:rPr>
                <w:rFonts w:ascii="Garamond" w:hAnsi="Garamond"/>
              </w:rPr>
            </w:pPr>
            <w:r>
              <w:rPr>
                <w:rFonts w:ascii="Garamond" w:hAnsi="Garamond"/>
              </w:rPr>
              <w:t>Mr.Sisay</w:t>
            </w:r>
            <w:r w:rsidR="00626C2C">
              <w:rPr>
                <w:rFonts w:ascii="Garamond" w:hAnsi="Garamond"/>
              </w:rPr>
              <w:t xml:space="preserve"> Nune</w:t>
            </w:r>
          </w:p>
        </w:tc>
        <w:tc>
          <w:tcPr>
            <w:tcW w:w="2880" w:type="dxa"/>
            <w:shd w:val="clear" w:color="auto" w:fill="auto"/>
            <w:vAlign w:val="center"/>
          </w:tcPr>
          <w:p w:rsidR="00BD0003" w:rsidRPr="001E03C5" w:rsidRDefault="00626C2C" w:rsidP="006A6400">
            <w:pPr>
              <w:pStyle w:val="Header"/>
              <w:rPr>
                <w:rFonts w:ascii="Garamond" w:hAnsi="Garamond"/>
              </w:rPr>
            </w:pPr>
            <w:r>
              <w:rPr>
                <w:rFonts w:ascii="Garamond" w:hAnsi="Garamond"/>
              </w:rPr>
              <w:t>Programme Officer</w:t>
            </w:r>
          </w:p>
        </w:tc>
        <w:tc>
          <w:tcPr>
            <w:tcW w:w="3240" w:type="dxa"/>
            <w:shd w:val="clear" w:color="auto" w:fill="auto"/>
            <w:vAlign w:val="center"/>
          </w:tcPr>
          <w:p w:rsidR="006D7E85" w:rsidRPr="00D11A1E" w:rsidRDefault="00702115" w:rsidP="00A43F51">
            <w:pPr>
              <w:autoSpaceDE w:val="0"/>
              <w:autoSpaceDN w:val="0"/>
              <w:adjustRightInd w:val="0"/>
              <w:spacing w:after="0" w:line="240" w:lineRule="auto"/>
              <w:rPr>
                <w:rFonts w:ascii="Garamond" w:hAnsi="Garamond"/>
              </w:rPr>
            </w:pPr>
            <w:hyperlink r:id="rId52" w:history="1">
              <w:r w:rsidR="006D7E85" w:rsidRPr="00D11A1E">
                <w:rPr>
                  <w:rStyle w:val="Hyperlink"/>
                  <w:rFonts w:ascii="Garamond" w:hAnsi="Garamond"/>
                </w:rPr>
                <w:t>Sisay.nune.hailemariam@mfa.no</w:t>
              </w:r>
            </w:hyperlink>
          </w:p>
        </w:tc>
      </w:tr>
      <w:tr w:rsidR="00565AC5" w:rsidRPr="001E03C5" w:rsidTr="00D11A1E">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vMerge w:val="restart"/>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USAID</w:t>
            </w: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Mr.Stephen Morin</w:t>
            </w:r>
          </w:p>
        </w:tc>
        <w:tc>
          <w:tcPr>
            <w:tcW w:w="288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Office Chief, Economic Growth and Transformation Office</w:t>
            </w:r>
          </w:p>
        </w:tc>
        <w:tc>
          <w:tcPr>
            <w:tcW w:w="3240" w:type="dxa"/>
            <w:shd w:val="clear" w:color="auto" w:fill="auto"/>
            <w:vAlign w:val="center"/>
          </w:tcPr>
          <w:p w:rsidR="00565AC5" w:rsidRPr="001E03C5" w:rsidRDefault="00702115" w:rsidP="006A6400">
            <w:pPr>
              <w:autoSpaceDE w:val="0"/>
              <w:autoSpaceDN w:val="0"/>
              <w:adjustRightInd w:val="0"/>
              <w:spacing w:after="0" w:line="240" w:lineRule="auto"/>
              <w:rPr>
                <w:rFonts w:ascii="Garamond" w:hAnsi="Garamond"/>
              </w:rPr>
            </w:pPr>
            <w:hyperlink r:id="rId53" w:history="1">
              <w:r w:rsidR="00565AC5" w:rsidRPr="001E03C5">
                <w:rPr>
                  <w:rStyle w:val="Hyperlink"/>
                  <w:rFonts w:ascii="Garamond" w:hAnsi="Garamond"/>
                </w:rPr>
                <w:t>smorin@usaid.gov</w:t>
              </w:r>
            </w:hyperlink>
          </w:p>
          <w:p w:rsidR="00565AC5" w:rsidRPr="001E03C5" w:rsidRDefault="00565AC5" w:rsidP="006A6400">
            <w:pPr>
              <w:autoSpaceDE w:val="0"/>
              <w:autoSpaceDN w:val="0"/>
              <w:adjustRightInd w:val="0"/>
              <w:spacing w:after="0" w:line="240" w:lineRule="auto"/>
              <w:rPr>
                <w:rStyle w:val="Hyperlink"/>
                <w:rFonts w:ascii="Garamond" w:hAnsi="Garamond"/>
              </w:rPr>
            </w:pPr>
          </w:p>
        </w:tc>
      </w:tr>
      <w:tr w:rsidR="00565AC5" w:rsidRPr="001E03C5" w:rsidTr="00D11A1E">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565AC5" w:rsidRPr="001E03C5" w:rsidRDefault="00565AC5" w:rsidP="006A6400">
            <w:pPr>
              <w:pStyle w:val="Header"/>
              <w:rPr>
                <w:rFonts w:ascii="Garamond" w:hAnsi="Garamond"/>
              </w:rPr>
            </w:pP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Dr.Kai Beard </w:t>
            </w:r>
          </w:p>
        </w:tc>
        <w:tc>
          <w:tcPr>
            <w:tcW w:w="2880" w:type="dxa"/>
            <w:shd w:val="clear" w:color="auto" w:fill="auto"/>
            <w:vAlign w:val="center"/>
          </w:tcPr>
          <w:p w:rsidR="00565AC5" w:rsidRPr="001E03C5" w:rsidRDefault="004301B8" w:rsidP="006A6400">
            <w:pPr>
              <w:pStyle w:val="Header"/>
              <w:rPr>
                <w:rFonts w:ascii="Garamond" w:hAnsi="Garamond"/>
              </w:rPr>
            </w:pPr>
            <w:r w:rsidRPr="001E03C5">
              <w:rPr>
                <w:rFonts w:ascii="Garamond" w:hAnsi="Garamond"/>
              </w:rPr>
              <w:t>Deputy Program Officer</w:t>
            </w:r>
          </w:p>
        </w:tc>
        <w:tc>
          <w:tcPr>
            <w:tcW w:w="3240" w:type="dxa"/>
            <w:shd w:val="clear" w:color="auto" w:fill="auto"/>
            <w:vAlign w:val="center"/>
          </w:tcPr>
          <w:p w:rsidR="00565AC5" w:rsidRPr="001E03C5" w:rsidRDefault="00702115" w:rsidP="00974B08">
            <w:pPr>
              <w:autoSpaceDE w:val="0"/>
              <w:autoSpaceDN w:val="0"/>
              <w:adjustRightInd w:val="0"/>
              <w:spacing w:after="0" w:line="240" w:lineRule="auto"/>
              <w:rPr>
                <w:rFonts w:ascii="Garamond" w:hAnsi="Garamond"/>
              </w:rPr>
            </w:pPr>
            <w:hyperlink r:id="rId54" w:history="1">
              <w:r w:rsidR="00565AC5" w:rsidRPr="001E03C5">
                <w:rPr>
                  <w:rStyle w:val="Hyperlink"/>
                  <w:rFonts w:ascii="Garamond" w:hAnsi="Garamond"/>
                </w:rPr>
                <w:t>kbeard@usaid.gov</w:t>
              </w:r>
            </w:hyperlink>
          </w:p>
          <w:p w:rsidR="00565AC5" w:rsidRPr="001E03C5" w:rsidRDefault="00565AC5" w:rsidP="00974B08">
            <w:pPr>
              <w:autoSpaceDE w:val="0"/>
              <w:autoSpaceDN w:val="0"/>
              <w:adjustRightInd w:val="0"/>
              <w:spacing w:after="0" w:line="240" w:lineRule="auto"/>
              <w:rPr>
                <w:rFonts w:ascii="Garamond" w:hAnsi="Garamond"/>
              </w:rPr>
            </w:pPr>
          </w:p>
        </w:tc>
      </w:tr>
      <w:tr w:rsidR="00565AC5" w:rsidRPr="001E03C5" w:rsidTr="00D11A1E">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565AC5" w:rsidRPr="001E03C5" w:rsidRDefault="00565AC5" w:rsidP="006A6400">
            <w:pPr>
              <w:pStyle w:val="Header"/>
              <w:rPr>
                <w:rFonts w:ascii="Garamond" w:hAnsi="Garamond"/>
              </w:rPr>
            </w:pP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Mr.Eshete Yilma</w:t>
            </w:r>
          </w:p>
        </w:tc>
        <w:tc>
          <w:tcPr>
            <w:tcW w:w="288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Health, AIDS, Population and Nutrition Office (Health Systems Strengthening Team Leader) </w:t>
            </w:r>
          </w:p>
        </w:tc>
        <w:tc>
          <w:tcPr>
            <w:tcW w:w="3240" w:type="dxa"/>
            <w:shd w:val="clear" w:color="auto" w:fill="auto"/>
            <w:vAlign w:val="center"/>
          </w:tcPr>
          <w:p w:rsidR="00565AC5" w:rsidRPr="001E03C5" w:rsidRDefault="00702115" w:rsidP="006A6400">
            <w:pPr>
              <w:autoSpaceDE w:val="0"/>
              <w:autoSpaceDN w:val="0"/>
              <w:adjustRightInd w:val="0"/>
              <w:spacing w:after="0" w:line="240" w:lineRule="auto"/>
              <w:rPr>
                <w:rFonts w:ascii="Garamond" w:hAnsi="Garamond"/>
              </w:rPr>
            </w:pPr>
            <w:hyperlink r:id="rId55" w:history="1">
              <w:r w:rsidR="00565AC5" w:rsidRPr="001E03C5">
                <w:rPr>
                  <w:rStyle w:val="Hyperlink"/>
                  <w:rFonts w:ascii="Garamond" w:hAnsi="Garamond"/>
                </w:rPr>
                <w:t>eyilma@usaid.gov</w:t>
              </w:r>
            </w:hyperlink>
          </w:p>
          <w:p w:rsidR="00565AC5" w:rsidRPr="001E03C5" w:rsidRDefault="00565AC5" w:rsidP="006A6400">
            <w:pPr>
              <w:autoSpaceDE w:val="0"/>
              <w:autoSpaceDN w:val="0"/>
              <w:adjustRightInd w:val="0"/>
              <w:spacing w:after="0" w:line="240" w:lineRule="auto"/>
              <w:rPr>
                <w:rFonts w:ascii="Garamond" w:hAnsi="Garamond"/>
              </w:rPr>
            </w:pPr>
          </w:p>
        </w:tc>
      </w:tr>
      <w:tr w:rsidR="00565AC5" w:rsidRPr="001E03C5" w:rsidTr="00D11A1E">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565AC5" w:rsidRPr="001E03C5" w:rsidRDefault="00565AC5" w:rsidP="006A6400">
            <w:pPr>
              <w:pStyle w:val="Header"/>
              <w:rPr>
                <w:rFonts w:ascii="Garamond" w:hAnsi="Garamond"/>
              </w:rPr>
            </w:pP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Dr.William M.Butterfield</w:t>
            </w:r>
          </w:p>
        </w:tc>
        <w:tc>
          <w:tcPr>
            <w:tcW w:w="288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Mission Economist, Economic Growth and Transformation Office </w:t>
            </w:r>
          </w:p>
        </w:tc>
        <w:tc>
          <w:tcPr>
            <w:tcW w:w="3240" w:type="dxa"/>
            <w:shd w:val="clear" w:color="auto" w:fill="auto"/>
            <w:vAlign w:val="center"/>
          </w:tcPr>
          <w:p w:rsidR="00565AC5" w:rsidRPr="001E03C5" w:rsidRDefault="00702115" w:rsidP="006A6400">
            <w:pPr>
              <w:autoSpaceDE w:val="0"/>
              <w:autoSpaceDN w:val="0"/>
              <w:adjustRightInd w:val="0"/>
              <w:spacing w:after="0" w:line="240" w:lineRule="auto"/>
              <w:rPr>
                <w:rFonts w:ascii="Garamond" w:hAnsi="Garamond"/>
              </w:rPr>
            </w:pPr>
            <w:hyperlink r:id="rId56" w:history="1">
              <w:r w:rsidR="00565AC5" w:rsidRPr="001E03C5">
                <w:rPr>
                  <w:rStyle w:val="Hyperlink"/>
                  <w:rFonts w:ascii="Garamond" w:hAnsi="Garamond"/>
                </w:rPr>
                <w:t>wbutterfiled@usaid.gov</w:t>
              </w:r>
            </w:hyperlink>
          </w:p>
          <w:p w:rsidR="00565AC5" w:rsidRPr="001E03C5" w:rsidRDefault="00565AC5" w:rsidP="006A6400">
            <w:pPr>
              <w:autoSpaceDE w:val="0"/>
              <w:autoSpaceDN w:val="0"/>
              <w:adjustRightInd w:val="0"/>
              <w:spacing w:after="0" w:line="240" w:lineRule="auto"/>
              <w:rPr>
                <w:rFonts w:ascii="Garamond" w:hAnsi="Garamond"/>
              </w:rPr>
            </w:pPr>
          </w:p>
        </w:tc>
      </w:tr>
      <w:tr w:rsidR="00565AC5" w:rsidRPr="001E03C5" w:rsidTr="00A43F51">
        <w:trPr>
          <w:trHeight w:val="431"/>
        </w:trPr>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565AC5" w:rsidRPr="001E03C5" w:rsidRDefault="00565AC5" w:rsidP="006A6400">
            <w:pPr>
              <w:pStyle w:val="Header"/>
              <w:rPr>
                <w:rFonts w:ascii="Garamond" w:hAnsi="Garamond"/>
              </w:rPr>
            </w:pP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Dr.Robert R.Lopez</w:t>
            </w:r>
          </w:p>
        </w:tc>
        <w:tc>
          <w:tcPr>
            <w:tcW w:w="288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Supervisor Program Officer</w:t>
            </w:r>
          </w:p>
        </w:tc>
        <w:tc>
          <w:tcPr>
            <w:tcW w:w="3240" w:type="dxa"/>
            <w:shd w:val="clear" w:color="auto" w:fill="auto"/>
            <w:vAlign w:val="center"/>
          </w:tcPr>
          <w:p w:rsidR="00565AC5" w:rsidRPr="001E03C5" w:rsidRDefault="00702115" w:rsidP="006A6400">
            <w:pPr>
              <w:autoSpaceDE w:val="0"/>
              <w:autoSpaceDN w:val="0"/>
              <w:adjustRightInd w:val="0"/>
              <w:spacing w:after="0" w:line="240" w:lineRule="auto"/>
              <w:rPr>
                <w:rFonts w:ascii="Garamond" w:hAnsi="Garamond"/>
              </w:rPr>
            </w:pPr>
            <w:hyperlink r:id="rId57" w:history="1">
              <w:r w:rsidR="00565AC5" w:rsidRPr="001E03C5">
                <w:rPr>
                  <w:rStyle w:val="Hyperlink"/>
                  <w:rFonts w:ascii="Garamond" w:hAnsi="Garamond"/>
                </w:rPr>
                <w:t>rlopez@usaid.gov</w:t>
              </w:r>
            </w:hyperlink>
          </w:p>
          <w:p w:rsidR="00565AC5" w:rsidRPr="001E03C5" w:rsidRDefault="00565AC5" w:rsidP="006A6400">
            <w:pPr>
              <w:autoSpaceDE w:val="0"/>
              <w:autoSpaceDN w:val="0"/>
              <w:adjustRightInd w:val="0"/>
              <w:spacing w:after="0" w:line="240" w:lineRule="auto"/>
              <w:rPr>
                <w:rFonts w:ascii="Garamond" w:hAnsi="Garamond"/>
              </w:rPr>
            </w:pPr>
          </w:p>
        </w:tc>
      </w:tr>
      <w:tr w:rsidR="00565AC5" w:rsidRPr="001E03C5" w:rsidTr="00D11A1E">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565AC5" w:rsidRPr="001E03C5" w:rsidRDefault="00565AC5" w:rsidP="006A6400">
            <w:pPr>
              <w:pStyle w:val="Header"/>
              <w:rPr>
                <w:rFonts w:ascii="Garamond" w:hAnsi="Garamond"/>
              </w:rPr>
            </w:pP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Mr.Sileshi Damt</w:t>
            </w:r>
            <w:r w:rsidR="00B13199">
              <w:rPr>
                <w:rFonts w:ascii="Garamond" w:hAnsi="Garamond"/>
              </w:rPr>
              <w:t>e</w:t>
            </w:r>
          </w:p>
        </w:tc>
        <w:tc>
          <w:tcPr>
            <w:tcW w:w="288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Senior Program Development Specialist </w:t>
            </w:r>
          </w:p>
        </w:tc>
        <w:tc>
          <w:tcPr>
            <w:tcW w:w="3240" w:type="dxa"/>
            <w:shd w:val="clear" w:color="auto" w:fill="auto"/>
            <w:vAlign w:val="center"/>
          </w:tcPr>
          <w:p w:rsidR="00565AC5" w:rsidRPr="001E03C5" w:rsidRDefault="00702115" w:rsidP="0099121D">
            <w:pPr>
              <w:autoSpaceDE w:val="0"/>
              <w:autoSpaceDN w:val="0"/>
              <w:adjustRightInd w:val="0"/>
              <w:spacing w:after="0" w:line="240" w:lineRule="auto"/>
              <w:rPr>
                <w:rFonts w:ascii="Garamond" w:hAnsi="Garamond"/>
              </w:rPr>
            </w:pPr>
            <w:hyperlink r:id="rId58" w:history="1">
              <w:r w:rsidR="00565AC5" w:rsidRPr="001E03C5">
                <w:rPr>
                  <w:rStyle w:val="Hyperlink"/>
                  <w:rFonts w:ascii="Garamond" w:hAnsi="Garamond"/>
                </w:rPr>
                <w:t>sdamte@usaid.gov</w:t>
              </w:r>
            </w:hyperlink>
          </w:p>
          <w:p w:rsidR="00565AC5" w:rsidRPr="001E03C5" w:rsidRDefault="00565AC5" w:rsidP="0099121D">
            <w:pPr>
              <w:autoSpaceDE w:val="0"/>
              <w:autoSpaceDN w:val="0"/>
              <w:adjustRightInd w:val="0"/>
              <w:spacing w:after="0" w:line="240" w:lineRule="auto"/>
              <w:rPr>
                <w:rFonts w:ascii="Garamond" w:hAnsi="Garamond"/>
              </w:rPr>
            </w:pPr>
          </w:p>
        </w:tc>
      </w:tr>
      <w:tr w:rsidR="00A8793E" w:rsidRPr="001E03C5" w:rsidTr="00D11A1E">
        <w:tc>
          <w:tcPr>
            <w:tcW w:w="630" w:type="dxa"/>
            <w:shd w:val="clear" w:color="auto" w:fill="auto"/>
            <w:vAlign w:val="center"/>
          </w:tcPr>
          <w:p w:rsidR="00A8793E" w:rsidRPr="001E03C5" w:rsidRDefault="00A8793E" w:rsidP="00F82810">
            <w:pPr>
              <w:pStyle w:val="Header"/>
              <w:numPr>
                <w:ilvl w:val="0"/>
                <w:numId w:val="28"/>
              </w:numPr>
              <w:tabs>
                <w:tab w:val="clear" w:pos="4680"/>
                <w:tab w:val="clear" w:pos="9360"/>
              </w:tabs>
              <w:rPr>
                <w:rFonts w:ascii="Garamond" w:hAnsi="Garamond"/>
              </w:rPr>
            </w:pPr>
          </w:p>
        </w:tc>
        <w:tc>
          <w:tcPr>
            <w:tcW w:w="2047" w:type="dxa"/>
            <w:vMerge w:val="restart"/>
            <w:shd w:val="clear" w:color="auto" w:fill="auto"/>
            <w:vAlign w:val="center"/>
          </w:tcPr>
          <w:p w:rsidR="00A8793E" w:rsidRPr="001E03C5" w:rsidRDefault="00A8793E" w:rsidP="006A6400">
            <w:pPr>
              <w:pStyle w:val="Header"/>
              <w:rPr>
                <w:rFonts w:ascii="Garamond" w:hAnsi="Garamond"/>
              </w:rPr>
            </w:pPr>
            <w:r w:rsidRPr="001E03C5">
              <w:rPr>
                <w:rFonts w:ascii="Garamond" w:hAnsi="Garamond"/>
              </w:rPr>
              <w:t xml:space="preserve">UNDP </w:t>
            </w:r>
          </w:p>
        </w:tc>
        <w:tc>
          <w:tcPr>
            <w:tcW w:w="2790" w:type="dxa"/>
            <w:shd w:val="clear" w:color="auto" w:fill="auto"/>
            <w:vAlign w:val="center"/>
          </w:tcPr>
          <w:p w:rsidR="00A8793E" w:rsidRPr="001E03C5" w:rsidRDefault="00A8793E" w:rsidP="006A6400">
            <w:pPr>
              <w:pStyle w:val="Header"/>
              <w:rPr>
                <w:rFonts w:ascii="Garamond" w:hAnsi="Garamond"/>
              </w:rPr>
            </w:pPr>
            <w:r w:rsidRPr="001E03C5">
              <w:rPr>
                <w:rFonts w:ascii="Garamond" w:hAnsi="Garamond"/>
              </w:rPr>
              <w:t>Mr. Fekadu Terefe</w:t>
            </w:r>
          </w:p>
          <w:p w:rsidR="00A8793E" w:rsidRPr="001E03C5" w:rsidRDefault="00A8793E" w:rsidP="006A6400">
            <w:pPr>
              <w:pStyle w:val="Header"/>
              <w:rPr>
                <w:rFonts w:ascii="Garamond" w:hAnsi="Garamond"/>
              </w:rPr>
            </w:pPr>
          </w:p>
        </w:tc>
        <w:tc>
          <w:tcPr>
            <w:tcW w:w="2880" w:type="dxa"/>
            <w:shd w:val="clear" w:color="auto" w:fill="auto"/>
            <w:vAlign w:val="center"/>
          </w:tcPr>
          <w:p w:rsidR="00A8793E" w:rsidRPr="001E03C5" w:rsidRDefault="00A8793E" w:rsidP="006A6400">
            <w:pPr>
              <w:pStyle w:val="Header"/>
              <w:rPr>
                <w:rFonts w:ascii="Garamond" w:hAnsi="Garamond"/>
              </w:rPr>
            </w:pPr>
            <w:r w:rsidRPr="001E03C5">
              <w:rPr>
                <w:rFonts w:ascii="Garamond" w:hAnsi="Garamond"/>
              </w:rPr>
              <w:lastRenderedPageBreak/>
              <w:t xml:space="preserve">Policy Specialist, Inclusive </w:t>
            </w:r>
            <w:r w:rsidRPr="001E03C5">
              <w:rPr>
                <w:rFonts w:ascii="Garamond" w:hAnsi="Garamond"/>
              </w:rPr>
              <w:lastRenderedPageBreak/>
              <w:t xml:space="preserve">Growth and Human Development </w:t>
            </w:r>
          </w:p>
        </w:tc>
        <w:tc>
          <w:tcPr>
            <w:tcW w:w="3240" w:type="dxa"/>
            <w:shd w:val="clear" w:color="auto" w:fill="auto"/>
            <w:vAlign w:val="center"/>
          </w:tcPr>
          <w:p w:rsidR="00A8793E" w:rsidRPr="001E03C5" w:rsidRDefault="00A8793E" w:rsidP="006A6400">
            <w:pPr>
              <w:autoSpaceDE w:val="0"/>
              <w:autoSpaceDN w:val="0"/>
              <w:adjustRightInd w:val="0"/>
              <w:spacing w:after="0" w:line="240" w:lineRule="auto"/>
              <w:rPr>
                <w:rStyle w:val="Hyperlink"/>
                <w:rFonts w:ascii="Garamond" w:eastAsia="Batang" w:hAnsi="Garamond"/>
                <w:lang w:val="fr-FR"/>
              </w:rPr>
            </w:pPr>
            <w:r w:rsidRPr="001E03C5">
              <w:rPr>
                <w:rStyle w:val="Hyperlink"/>
                <w:rFonts w:ascii="Garamond" w:eastAsia="Batang" w:hAnsi="Garamond"/>
                <w:lang w:val="fr-FR"/>
              </w:rPr>
              <w:lastRenderedPageBreak/>
              <w:t>Fekadu.terefe@undp.org</w:t>
            </w:r>
          </w:p>
        </w:tc>
      </w:tr>
      <w:tr w:rsidR="00A8793E" w:rsidRPr="001E03C5" w:rsidTr="00D11A1E">
        <w:tc>
          <w:tcPr>
            <w:tcW w:w="630" w:type="dxa"/>
            <w:shd w:val="clear" w:color="auto" w:fill="auto"/>
            <w:vAlign w:val="center"/>
          </w:tcPr>
          <w:p w:rsidR="00A8793E" w:rsidRPr="001E03C5" w:rsidRDefault="00A8793E"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A8793E" w:rsidRPr="001E03C5" w:rsidRDefault="00A8793E" w:rsidP="006A6400">
            <w:pPr>
              <w:pStyle w:val="Header"/>
              <w:rPr>
                <w:rFonts w:ascii="Garamond" w:hAnsi="Garamond"/>
              </w:rPr>
            </w:pPr>
          </w:p>
        </w:tc>
        <w:tc>
          <w:tcPr>
            <w:tcW w:w="2790" w:type="dxa"/>
            <w:shd w:val="clear" w:color="auto" w:fill="auto"/>
            <w:vAlign w:val="center"/>
          </w:tcPr>
          <w:p w:rsidR="00A8793E" w:rsidRPr="001E03C5" w:rsidRDefault="00A8793E" w:rsidP="006A6400">
            <w:pPr>
              <w:pStyle w:val="Header"/>
              <w:rPr>
                <w:rFonts w:ascii="Garamond" w:hAnsi="Garamond"/>
              </w:rPr>
            </w:pPr>
            <w:r w:rsidRPr="001E03C5">
              <w:rPr>
                <w:rFonts w:ascii="Garamond" w:hAnsi="Garamond"/>
              </w:rPr>
              <w:t>Mrs.Meron Tekola</w:t>
            </w:r>
          </w:p>
        </w:tc>
        <w:tc>
          <w:tcPr>
            <w:tcW w:w="2880" w:type="dxa"/>
            <w:shd w:val="clear" w:color="auto" w:fill="auto"/>
            <w:vAlign w:val="center"/>
          </w:tcPr>
          <w:p w:rsidR="00A8793E" w:rsidRPr="001E03C5" w:rsidRDefault="00A8793E" w:rsidP="006A6400">
            <w:pPr>
              <w:pStyle w:val="Header"/>
              <w:rPr>
                <w:rFonts w:ascii="Garamond" w:hAnsi="Garamond"/>
              </w:rPr>
            </w:pPr>
          </w:p>
        </w:tc>
        <w:tc>
          <w:tcPr>
            <w:tcW w:w="3240" w:type="dxa"/>
            <w:shd w:val="clear" w:color="auto" w:fill="auto"/>
            <w:vAlign w:val="center"/>
          </w:tcPr>
          <w:p w:rsidR="00A8793E" w:rsidRPr="001E03C5" w:rsidRDefault="00A8793E" w:rsidP="006A6400">
            <w:pPr>
              <w:autoSpaceDE w:val="0"/>
              <w:autoSpaceDN w:val="0"/>
              <w:adjustRightInd w:val="0"/>
              <w:spacing w:after="0" w:line="240" w:lineRule="auto"/>
              <w:rPr>
                <w:rStyle w:val="Hyperlink"/>
                <w:rFonts w:ascii="Garamond" w:hAnsi="Garamond"/>
              </w:rPr>
            </w:pPr>
            <w:r w:rsidRPr="001E03C5">
              <w:rPr>
                <w:rStyle w:val="Hyperlink"/>
                <w:rFonts w:ascii="Garamond" w:hAnsi="Garamond"/>
              </w:rPr>
              <w:t>Meron.tekola@undp.org</w:t>
            </w:r>
          </w:p>
        </w:tc>
      </w:tr>
      <w:tr w:rsidR="00565AC5" w:rsidRPr="001E03C5" w:rsidTr="00D11A1E">
        <w:tc>
          <w:tcPr>
            <w:tcW w:w="630" w:type="dxa"/>
            <w:vMerge w:val="restart"/>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vMerge w:val="restart"/>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Ministry of Finance and Economic Cooperation </w:t>
            </w: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Mr.Belachew </w:t>
            </w:r>
            <w:r w:rsidR="001406FE">
              <w:rPr>
                <w:rFonts w:ascii="Garamond" w:hAnsi="Garamond"/>
              </w:rPr>
              <w:t>Beyene</w:t>
            </w:r>
          </w:p>
        </w:tc>
        <w:tc>
          <w:tcPr>
            <w:tcW w:w="288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Director, European Union Directorate </w:t>
            </w:r>
          </w:p>
        </w:tc>
        <w:tc>
          <w:tcPr>
            <w:tcW w:w="3240" w:type="dxa"/>
            <w:shd w:val="clear" w:color="auto" w:fill="auto"/>
            <w:vAlign w:val="center"/>
          </w:tcPr>
          <w:p w:rsidR="00565AC5" w:rsidRPr="001E03C5" w:rsidRDefault="00565AC5" w:rsidP="006A6400">
            <w:pPr>
              <w:autoSpaceDE w:val="0"/>
              <w:autoSpaceDN w:val="0"/>
              <w:adjustRightInd w:val="0"/>
              <w:spacing w:after="0" w:line="240" w:lineRule="auto"/>
              <w:rPr>
                <w:rStyle w:val="Hyperlink"/>
                <w:rFonts w:ascii="Garamond" w:hAnsi="Garamond"/>
              </w:rPr>
            </w:pPr>
          </w:p>
        </w:tc>
      </w:tr>
      <w:tr w:rsidR="00565AC5" w:rsidRPr="001E03C5" w:rsidTr="00D11A1E">
        <w:tc>
          <w:tcPr>
            <w:tcW w:w="630" w:type="dxa"/>
            <w:vMerge/>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565AC5" w:rsidRPr="001E03C5" w:rsidRDefault="00565AC5" w:rsidP="006A6400">
            <w:pPr>
              <w:pStyle w:val="Header"/>
              <w:rPr>
                <w:rFonts w:ascii="Garamond" w:hAnsi="Garamond"/>
              </w:rPr>
            </w:pP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Mr.Fisseha Kidane </w:t>
            </w:r>
          </w:p>
        </w:tc>
        <w:tc>
          <w:tcPr>
            <w:tcW w:w="288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Director, Multilateral Financial Institutions</w:t>
            </w:r>
          </w:p>
        </w:tc>
        <w:tc>
          <w:tcPr>
            <w:tcW w:w="3240" w:type="dxa"/>
            <w:shd w:val="clear" w:color="auto" w:fill="auto"/>
            <w:vAlign w:val="center"/>
          </w:tcPr>
          <w:p w:rsidR="00565AC5" w:rsidRPr="001E03C5" w:rsidRDefault="00565AC5" w:rsidP="006A6400">
            <w:pPr>
              <w:autoSpaceDE w:val="0"/>
              <w:autoSpaceDN w:val="0"/>
              <w:adjustRightInd w:val="0"/>
              <w:spacing w:after="0" w:line="240" w:lineRule="auto"/>
              <w:rPr>
                <w:rStyle w:val="Hyperlink"/>
                <w:rFonts w:ascii="Garamond" w:hAnsi="Garamond"/>
              </w:rPr>
            </w:pPr>
          </w:p>
        </w:tc>
      </w:tr>
      <w:tr w:rsidR="00565AC5" w:rsidRPr="001E03C5" w:rsidTr="00D11A1E">
        <w:tc>
          <w:tcPr>
            <w:tcW w:w="630" w:type="dxa"/>
            <w:vMerge/>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565AC5" w:rsidRPr="001E03C5" w:rsidRDefault="00565AC5" w:rsidP="006A6400">
            <w:pPr>
              <w:pStyle w:val="Header"/>
              <w:rPr>
                <w:rFonts w:ascii="Garamond" w:hAnsi="Garamond"/>
              </w:rPr>
            </w:pP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Dr.Tesfaye Kebede</w:t>
            </w:r>
          </w:p>
        </w:tc>
        <w:tc>
          <w:tcPr>
            <w:tcW w:w="2880" w:type="dxa"/>
            <w:shd w:val="clear" w:color="auto" w:fill="auto"/>
            <w:vAlign w:val="center"/>
          </w:tcPr>
          <w:p w:rsidR="00565AC5" w:rsidRPr="001E03C5" w:rsidRDefault="00565AC5" w:rsidP="005B3835">
            <w:pPr>
              <w:pStyle w:val="Header"/>
              <w:rPr>
                <w:rFonts w:ascii="Garamond" w:hAnsi="Garamond"/>
              </w:rPr>
            </w:pPr>
            <w:r w:rsidRPr="001E03C5">
              <w:rPr>
                <w:rFonts w:ascii="Garamond" w:hAnsi="Garamond"/>
              </w:rPr>
              <w:t xml:space="preserve">Director, Debt Management  </w:t>
            </w:r>
          </w:p>
        </w:tc>
        <w:tc>
          <w:tcPr>
            <w:tcW w:w="3240" w:type="dxa"/>
            <w:shd w:val="clear" w:color="auto" w:fill="auto"/>
            <w:vAlign w:val="center"/>
          </w:tcPr>
          <w:p w:rsidR="00565AC5" w:rsidRPr="001E03C5" w:rsidRDefault="00565AC5" w:rsidP="006A6400">
            <w:pPr>
              <w:autoSpaceDE w:val="0"/>
              <w:autoSpaceDN w:val="0"/>
              <w:adjustRightInd w:val="0"/>
              <w:spacing w:after="0" w:line="240" w:lineRule="auto"/>
              <w:rPr>
                <w:rStyle w:val="Hyperlink"/>
                <w:rFonts w:ascii="Garamond" w:hAnsi="Garamond"/>
              </w:rPr>
            </w:pPr>
          </w:p>
        </w:tc>
      </w:tr>
      <w:tr w:rsidR="00565AC5" w:rsidRPr="001E03C5" w:rsidTr="00D11A1E">
        <w:tc>
          <w:tcPr>
            <w:tcW w:w="630" w:type="dxa"/>
            <w:vMerge/>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565AC5" w:rsidRPr="001E03C5" w:rsidRDefault="00565AC5" w:rsidP="006A6400">
            <w:pPr>
              <w:pStyle w:val="Header"/>
              <w:rPr>
                <w:rFonts w:ascii="Garamond" w:hAnsi="Garamond"/>
              </w:rPr>
            </w:pP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Mr.Koke</w:t>
            </w:r>
            <w:r w:rsidR="001406FE">
              <w:rPr>
                <w:rFonts w:ascii="Garamond" w:hAnsi="Garamond"/>
              </w:rPr>
              <w:t>b</w:t>
            </w:r>
            <w:r w:rsidRPr="001E03C5">
              <w:rPr>
                <w:rFonts w:ascii="Garamond" w:hAnsi="Garamond"/>
              </w:rPr>
              <w:t xml:space="preserve"> Misrak</w:t>
            </w:r>
          </w:p>
        </w:tc>
        <w:tc>
          <w:tcPr>
            <w:tcW w:w="288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Director, Bilateral Cooperation </w:t>
            </w:r>
          </w:p>
        </w:tc>
        <w:tc>
          <w:tcPr>
            <w:tcW w:w="3240" w:type="dxa"/>
            <w:shd w:val="clear" w:color="auto" w:fill="auto"/>
            <w:vAlign w:val="center"/>
          </w:tcPr>
          <w:p w:rsidR="00565AC5" w:rsidRPr="001E03C5" w:rsidRDefault="00565AC5" w:rsidP="006A6400">
            <w:pPr>
              <w:autoSpaceDE w:val="0"/>
              <w:autoSpaceDN w:val="0"/>
              <w:adjustRightInd w:val="0"/>
              <w:spacing w:after="0" w:line="240" w:lineRule="auto"/>
              <w:rPr>
                <w:rStyle w:val="Hyperlink"/>
                <w:rFonts w:ascii="Garamond" w:hAnsi="Garamond"/>
              </w:rPr>
            </w:pPr>
          </w:p>
        </w:tc>
      </w:tr>
      <w:tr w:rsidR="00565AC5" w:rsidRPr="001E03C5" w:rsidTr="00D11A1E">
        <w:tc>
          <w:tcPr>
            <w:tcW w:w="630" w:type="dxa"/>
            <w:vMerge/>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565AC5" w:rsidRPr="001E03C5" w:rsidRDefault="00565AC5" w:rsidP="006A6400">
            <w:pPr>
              <w:pStyle w:val="Header"/>
              <w:rPr>
                <w:rFonts w:ascii="Garamond" w:hAnsi="Garamond"/>
              </w:rPr>
            </w:pP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Mr.Adugna Nemera</w:t>
            </w:r>
          </w:p>
        </w:tc>
        <w:tc>
          <w:tcPr>
            <w:tcW w:w="288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M&amp;E Expert, CRGE Facility</w:t>
            </w:r>
          </w:p>
        </w:tc>
        <w:tc>
          <w:tcPr>
            <w:tcW w:w="3240" w:type="dxa"/>
            <w:shd w:val="clear" w:color="auto" w:fill="auto"/>
            <w:vAlign w:val="center"/>
          </w:tcPr>
          <w:p w:rsidR="00565AC5" w:rsidRPr="001E03C5" w:rsidRDefault="00565AC5" w:rsidP="006A6400">
            <w:pPr>
              <w:autoSpaceDE w:val="0"/>
              <w:autoSpaceDN w:val="0"/>
              <w:adjustRightInd w:val="0"/>
              <w:spacing w:after="0" w:line="240" w:lineRule="auto"/>
              <w:rPr>
                <w:rStyle w:val="Hyperlink"/>
                <w:rFonts w:ascii="Garamond" w:hAnsi="Garamond"/>
              </w:rPr>
            </w:pPr>
          </w:p>
        </w:tc>
      </w:tr>
      <w:tr w:rsidR="00565AC5" w:rsidRPr="001E03C5" w:rsidTr="00D11A1E">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Ministry of Industry </w:t>
            </w: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Ato Ahmed Nuru</w:t>
            </w:r>
          </w:p>
        </w:tc>
        <w:tc>
          <w:tcPr>
            <w:tcW w:w="2880" w:type="dxa"/>
            <w:shd w:val="clear" w:color="auto" w:fill="auto"/>
            <w:vAlign w:val="center"/>
          </w:tcPr>
          <w:p w:rsidR="00565AC5" w:rsidRPr="001E03C5" w:rsidRDefault="00565AC5" w:rsidP="001406FE">
            <w:pPr>
              <w:pStyle w:val="Header"/>
              <w:rPr>
                <w:rFonts w:ascii="Garamond" w:hAnsi="Garamond"/>
              </w:rPr>
            </w:pPr>
            <w:r w:rsidRPr="001E03C5">
              <w:rPr>
                <w:rFonts w:ascii="Garamond" w:hAnsi="Garamond"/>
              </w:rPr>
              <w:t xml:space="preserve">Director, Policy and Research </w:t>
            </w:r>
            <w:r w:rsidR="005D1E86">
              <w:rPr>
                <w:rFonts w:ascii="Garamond" w:hAnsi="Garamond"/>
              </w:rPr>
              <w:t>Center</w:t>
            </w:r>
          </w:p>
        </w:tc>
        <w:tc>
          <w:tcPr>
            <w:tcW w:w="3240" w:type="dxa"/>
            <w:shd w:val="clear" w:color="auto" w:fill="auto"/>
            <w:vAlign w:val="center"/>
          </w:tcPr>
          <w:p w:rsidR="00565AC5" w:rsidRPr="001E03C5" w:rsidRDefault="00565AC5" w:rsidP="006A6400">
            <w:pPr>
              <w:autoSpaceDE w:val="0"/>
              <w:autoSpaceDN w:val="0"/>
              <w:adjustRightInd w:val="0"/>
              <w:spacing w:after="0" w:line="240" w:lineRule="auto"/>
              <w:rPr>
                <w:rStyle w:val="Hyperlink"/>
                <w:rFonts w:ascii="Garamond" w:hAnsi="Garamond"/>
              </w:rPr>
            </w:pPr>
          </w:p>
        </w:tc>
      </w:tr>
      <w:tr w:rsidR="00565AC5" w:rsidRPr="001E03C5" w:rsidTr="00D11A1E">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Chamber of Commerce and Sectoral Associations </w:t>
            </w: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Mr.Fekadu</w:t>
            </w:r>
            <w:r w:rsidR="00985816">
              <w:rPr>
                <w:rFonts w:ascii="Garamond" w:hAnsi="Garamond"/>
              </w:rPr>
              <w:t xml:space="preserve"> Tassew </w:t>
            </w:r>
          </w:p>
        </w:tc>
        <w:tc>
          <w:tcPr>
            <w:tcW w:w="2880" w:type="dxa"/>
            <w:shd w:val="clear" w:color="auto" w:fill="auto"/>
            <w:vAlign w:val="center"/>
          </w:tcPr>
          <w:p w:rsidR="00565AC5" w:rsidRPr="001E03C5" w:rsidRDefault="00985816" w:rsidP="006A6400">
            <w:pPr>
              <w:pStyle w:val="Header"/>
              <w:rPr>
                <w:rFonts w:ascii="Garamond" w:hAnsi="Garamond"/>
              </w:rPr>
            </w:pPr>
            <w:r>
              <w:rPr>
                <w:rFonts w:ascii="Garamond" w:hAnsi="Garamond"/>
              </w:rPr>
              <w:t xml:space="preserve">Director, Project Development and Resource Mobilization </w:t>
            </w:r>
          </w:p>
        </w:tc>
        <w:tc>
          <w:tcPr>
            <w:tcW w:w="3240" w:type="dxa"/>
            <w:shd w:val="clear" w:color="auto" w:fill="auto"/>
            <w:vAlign w:val="center"/>
          </w:tcPr>
          <w:p w:rsidR="00565AC5" w:rsidRPr="001E03C5" w:rsidRDefault="00565AC5" w:rsidP="006A6400">
            <w:pPr>
              <w:autoSpaceDE w:val="0"/>
              <w:autoSpaceDN w:val="0"/>
              <w:adjustRightInd w:val="0"/>
              <w:spacing w:after="0" w:line="240" w:lineRule="auto"/>
              <w:rPr>
                <w:rStyle w:val="Hyperlink"/>
                <w:rFonts w:ascii="Garamond" w:hAnsi="Garamond"/>
              </w:rPr>
            </w:pPr>
          </w:p>
        </w:tc>
      </w:tr>
      <w:tr w:rsidR="00565AC5" w:rsidRPr="001E03C5" w:rsidTr="00D11A1E">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Ministry of Environment, Forest and Climate Change </w:t>
            </w:r>
          </w:p>
        </w:tc>
        <w:tc>
          <w:tcPr>
            <w:tcW w:w="2790" w:type="dxa"/>
            <w:shd w:val="clear" w:color="auto" w:fill="auto"/>
            <w:vAlign w:val="center"/>
          </w:tcPr>
          <w:p w:rsidR="00565AC5" w:rsidRPr="001E03C5" w:rsidRDefault="00565AC5" w:rsidP="00BA505C">
            <w:pPr>
              <w:pStyle w:val="Header"/>
              <w:rPr>
                <w:rFonts w:ascii="Garamond" w:hAnsi="Garamond"/>
              </w:rPr>
            </w:pPr>
            <w:r w:rsidRPr="001E03C5">
              <w:rPr>
                <w:rFonts w:ascii="Garamond" w:hAnsi="Garamond"/>
              </w:rPr>
              <w:t>Mr.</w:t>
            </w:r>
            <w:r w:rsidR="00BA505C">
              <w:rPr>
                <w:rFonts w:ascii="Garamond" w:hAnsi="Garamond"/>
              </w:rPr>
              <w:t>Mesfin Sodo</w:t>
            </w:r>
          </w:p>
        </w:tc>
        <w:tc>
          <w:tcPr>
            <w:tcW w:w="2880" w:type="dxa"/>
            <w:shd w:val="clear" w:color="auto" w:fill="auto"/>
            <w:vAlign w:val="center"/>
          </w:tcPr>
          <w:p w:rsidR="00565AC5" w:rsidRPr="001E03C5" w:rsidRDefault="00BA505C" w:rsidP="006A6400">
            <w:pPr>
              <w:pStyle w:val="Header"/>
              <w:rPr>
                <w:rFonts w:ascii="Garamond" w:hAnsi="Garamond"/>
              </w:rPr>
            </w:pPr>
            <w:r>
              <w:rPr>
                <w:rFonts w:ascii="Garamond" w:hAnsi="Garamond"/>
              </w:rPr>
              <w:t>Acting Planning Director</w:t>
            </w:r>
          </w:p>
        </w:tc>
        <w:tc>
          <w:tcPr>
            <w:tcW w:w="3240" w:type="dxa"/>
            <w:shd w:val="clear" w:color="auto" w:fill="auto"/>
            <w:vAlign w:val="center"/>
          </w:tcPr>
          <w:p w:rsidR="00565AC5" w:rsidRPr="001E03C5" w:rsidRDefault="00BA505C" w:rsidP="006A6400">
            <w:pPr>
              <w:autoSpaceDE w:val="0"/>
              <w:autoSpaceDN w:val="0"/>
              <w:adjustRightInd w:val="0"/>
              <w:spacing w:after="0" w:line="240" w:lineRule="auto"/>
              <w:rPr>
                <w:rStyle w:val="Hyperlink"/>
                <w:rFonts w:ascii="Garamond" w:hAnsi="Garamond"/>
              </w:rPr>
            </w:pPr>
            <w:r>
              <w:rPr>
                <w:rStyle w:val="Hyperlink"/>
                <w:rFonts w:ascii="Garamond" w:hAnsi="Garamond"/>
              </w:rPr>
              <w:t>Mesfinsodo2017@gmail.com</w:t>
            </w:r>
          </w:p>
        </w:tc>
      </w:tr>
      <w:tr w:rsidR="00565AC5" w:rsidRPr="001E03C5" w:rsidTr="00D11A1E">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shd w:val="clear" w:color="auto" w:fill="auto"/>
            <w:vAlign w:val="center"/>
          </w:tcPr>
          <w:p w:rsidR="00565AC5" w:rsidRPr="001E03C5" w:rsidRDefault="00BA505C" w:rsidP="00BA505C">
            <w:pPr>
              <w:pStyle w:val="Header"/>
              <w:rPr>
                <w:rFonts w:ascii="Garamond" w:hAnsi="Garamond"/>
              </w:rPr>
            </w:pPr>
            <w:r>
              <w:rPr>
                <w:rFonts w:ascii="Garamond" w:hAnsi="Garamond"/>
              </w:rPr>
              <w:t>Ethiopian Revenues and Customs Authority</w:t>
            </w:r>
          </w:p>
        </w:tc>
        <w:tc>
          <w:tcPr>
            <w:tcW w:w="2790" w:type="dxa"/>
            <w:shd w:val="clear" w:color="auto" w:fill="auto"/>
            <w:vAlign w:val="center"/>
          </w:tcPr>
          <w:p w:rsidR="00565AC5" w:rsidRPr="001E03C5" w:rsidRDefault="00BA505C" w:rsidP="006A6400">
            <w:pPr>
              <w:pStyle w:val="Header"/>
              <w:rPr>
                <w:rFonts w:ascii="Garamond" w:hAnsi="Garamond"/>
              </w:rPr>
            </w:pPr>
            <w:r>
              <w:rPr>
                <w:rFonts w:ascii="Garamond" w:hAnsi="Garamond"/>
              </w:rPr>
              <w:t xml:space="preserve">Ato Sisay Baharu </w:t>
            </w:r>
          </w:p>
        </w:tc>
        <w:tc>
          <w:tcPr>
            <w:tcW w:w="2880" w:type="dxa"/>
            <w:shd w:val="clear" w:color="auto" w:fill="auto"/>
            <w:vAlign w:val="center"/>
          </w:tcPr>
          <w:p w:rsidR="00565AC5" w:rsidRPr="001E03C5" w:rsidRDefault="00BA505C" w:rsidP="006A6400">
            <w:pPr>
              <w:pStyle w:val="Header"/>
              <w:rPr>
                <w:rFonts w:ascii="Garamond" w:hAnsi="Garamond"/>
              </w:rPr>
            </w:pPr>
            <w:r>
              <w:rPr>
                <w:rFonts w:ascii="Garamond" w:hAnsi="Garamond"/>
              </w:rPr>
              <w:t xml:space="preserve">Planning Director </w:t>
            </w:r>
          </w:p>
        </w:tc>
        <w:tc>
          <w:tcPr>
            <w:tcW w:w="3240" w:type="dxa"/>
            <w:shd w:val="clear" w:color="auto" w:fill="auto"/>
            <w:vAlign w:val="center"/>
          </w:tcPr>
          <w:p w:rsidR="00565AC5" w:rsidRPr="001E03C5" w:rsidRDefault="00BA505C" w:rsidP="006A6400">
            <w:pPr>
              <w:autoSpaceDE w:val="0"/>
              <w:autoSpaceDN w:val="0"/>
              <w:adjustRightInd w:val="0"/>
              <w:spacing w:after="0" w:line="240" w:lineRule="auto"/>
              <w:rPr>
                <w:rStyle w:val="Hyperlink"/>
                <w:rFonts w:ascii="Garamond" w:hAnsi="Garamond"/>
              </w:rPr>
            </w:pPr>
            <w:r>
              <w:rPr>
                <w:rStyle w:val="Hyperlink"/>
                <w:rFonts w:ascii="Garamond" w:hAnsi="Garamond"/>
              </w:rPr>
              <w:t>Sisaybaharu@yahoo.com</w:t>
            </w:r>
          </w:p>
        </w:tc>
      </w:tr>
      <w:tr w:rsidR="00565AC5" w:rsidRPr="001E03C5" w:rsidTr="00D11A1E">
        <w:tc>
          <w:tcPr>
            <w:tcW w:w="630" w:type="dxa"/>
            <w:shd w:val="clear" w:color="auto" w:fill="auto"/>
            <w:vAlign w:val="center"/>
          </w:tcPr>
          <w:p w:rsidR="00565AC5" w:rsidRPr="001E03C5" w:rsidRDefault="00565AC5" w:rsidP="00F82810">
            <w:pPr>
              <w:pStyle w:val="Header"/>
              <w:numPr>
                <w:ilvl w:val="0"/>
                <w:numId w:val="28"/>
              </w:numPr>
              <w:tabs>
                <w:tab w:val="clear" w:pos="4680"/>
                <w:tab w:val="clear" w:pos="9360"/>
              </w:tabs>
              <w:rPr>
                <w:rFonts w:ascii="Garamond" w:hAnsi="Garamond"/>
              </w:rPr>
            </w:pPr>
          </w:p>
        </w:tc>
        <w:tc>
          <w:tcPr>
            <w:tcW w:w="2047"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National Planning Commission </w:t>
            </w:r>
          </w:p>
        </w:tc>
        <w:tc>
          <w:tcPr>
            <w:tcW w:w="279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Mr.Solomon Tesfasillassie</w:t>
            </w:r>
          </w:p>
        </w:tc>
        <w:tc>
          <w:tcPr>
            <w:tcW w:w="2880" w:type="dxa"/>
            <w:shd w:val="clear" w:color="auto" w:fill="auto"/>
            <w:vAlign w:val="center"/>
          </w:tcPr>
          <w:p w:rsidR="00565AC5" w:rsidRPr="001E03C5" w:rsidRDefault="00565AC5" w:rsidP="006A6400">
            <w:pPr>
              <w:pStyle w:val="Header"/>
              <w:rPr>
                <w:rFonts w:ascii="Garamond" w:hAnsi="Garamond"/>
              </w:rPr>
            </w:pPr>
            <w:r w:rsidRPr="001E03C5">
              <w:rPr>
                <w:rFonts w:ascii="Garamond" w:hAnsi="Garamond"/>
              </w:rPr>
              <w:t xml:space="preserve">Director, M&amp;E </w:t>
            </w:r>
          </w:p>
        </w:tc>
        <w:tc>
          <w:tcPr>
            <w:tcW w:w="3240" w:type="dxa"/>
            <w:shd w:val="clear" w:color="auto" w:fill="auto"/>
            <w:vAlign w:val="center"/>
          </w:tcPr>
          <w:p w:rsidR="00565AC5" w:rsidRPr="001E03C5" w:rsidRDefault="00985816" w:rsidP="006A6400">
            <w:pPr>
              <w:autoSpaceDE w:val="0"/>
              <w:autoSpaceDN w:val="0"/>
              <w:adjustRightInd w:val="0"/>
              <w:spacing w:after="0" w:line="240" w:lineRule="auto"/>
              <w:rPr>
                <w:rStyle w:val="Hyperlink"/>
                <w:rFonts w:ascii="Garamond" w:hAnsi="Garamond"/>
              </w:rPr>
            </w:pPr>
            <w:r>
              <w:rPr>
                <w:rStyle w:val="Hyperlink"/>
                <w:rFonts w:ascii="Garamond" w:hAnsi="Garamond"/>
              </w:rPr>
              <w:t>solomtss@yahoo.com</w:t>
            </w:r>
          </w:p>
        </w:tc>
      </w:tr>
      <w:tr w:rsidR="00A8793E" w:rsidRPr="001E03C5" w:rsidTr="00D11A1E">
        <w:tc>
          <w:tcPr>
            <w:tcW w:w="630" w:type="dxa"/>
            <w:shd w:val="clear" w:color="auto" w:fill="auto"/>
            <w:vAlign w:val="center"/>
          </w:tcPr>
          <w:p w:rsidR="00A8793E" w:rsidRPr="001E03C5" w:rsidRDefault="00A8793E" w:rsidP="00F82810">
            <w:pPr>
              <w:pStyle w:val="Header"/>
              <w:numPr>
                <w:ilvl w:val="0"/>
                <w:numId w:val="28"/>
              </w:numPr>
              <w:tabs>
                <w:tab w:val="clear" w:pos="4680"/>
                <w:tab w:val="clear" w:pos="9360"/>
              </w:tabs>
              <w:rPr>
                <w:rFonts w:ascii="Garamond" w:hAnsi="Garamond"/>
              </w:rPr>
            </w:pPr>
          </w:p>
        </w:tc>
        <w:tc>
          <w:tcPr>
            <w:tcW w:w="2047" w:type="dxa"/>
            <w:vMerge w:val="restart"/>
            <w:shd w:val="clear" w:color="auto" w:fill="auto"/>
            <w:vAlign w:val="center"/>
          </w:tcPr>
          <w:p w:rsidR="00A8793E" w:rsidRPr="001E03C5" w:rsidRDefault="00A8793E" w:rsidP="006A6400">
            <w:pPr>
              <w:pStyle w:val="Header"/>
              <w:rPr>
                <w:rFonts w:ascii="Garamond" w:hAnsi="Garamond"/>
              </w:rPr>
            </w:pPr>
            <w:r w:rsidRPr="001E03C5">
              <w:rPr>
                <w:rFonts w:ascii="Garamond" w:hAnsi="Garamond"/>
              </w:rPr>
              <w:t>UNICEF</w:t>
            </w:r>
          </w:p>
        </w:tc>
        <w:tc>
          <w:tcPr>
            <w:tcW w:w="2790" w:type="dxa"/>
            <w:shd w:val="clear" w:color="auto" w:fill="auto"/>
            <w:vAlign w:val="center"/>
          </w:tcPr>
          <w:p w:rsidR="00A8793E" w:rsidRPr="001E03C5" w:rsidRDefault="00A8793E" w:rsidP="006A6400">
            <w:pPr>
              <w:pStyle w:val="Header"/>
              <w:rPr>
                <w:rFonts w:ascii="Garamond" w:hAnsi="Garamond"/>
              </w:rPr>
            </w:pPr>
            <w:r w:rsidRPr="001E03C5">
              <w:rPr>
                <w:rFonts w:ascii="Garamond" w:hAnsi="Garamond"/>
              </w:rPr>
              <w:t>Ms.Zeleka Paulos</w:t>
            </w:r>
          </w:p>
          <w:p w:rsidR="00A8793E" w:rsidRPr="001E03C5" w:rsidRDefault="00A8793E" w:rsidP="006A6400">
            <w:pPr>
              <w:pStyle w:val="Header"/>
              <w:rPr>
                <w:rFonts w:ascii="Garamond" w:hAnsi="Garamond"/>
              </w:rPr>
            </w:pPr>
          </w:p>
        </w:tc>
        <w:tc>
          <w:tcPr>
            <w:tcW w:w="2880" w:type="dxa"/>
            <w:shd w:val="clear" w:color="auto" w:fill="auto"/>
            <w:vAlign w:val="center"/>
          </w:tcPr>
          <w:p w:rsidR="00A8793E" w:rsidRPr="001E03C5" w:rsidRDefault="00A8793E" w:rsidP="006A6400">
            <w:pPr>
              <w:pStyle w:val="Header"/>
              <w:rPr>
                <w:rFonts w:ascii="Garamond" w:hAnsi="Garamond"/>
              </w:rPr>
            </w:pPr>
            <w:r w:rsidRPr="001E03C5">
              <w:rPr>
                <w:rFonts w:ascii="Garamond" w:hAnsi="Garamond"/>
              </w:rPr>
              <w:t xml:space="preserve">Social Policy Specialist </w:t>
            </w:r>
          </w:p>
        </w:tc>
        <w:tc>
          <w:tcPr>
            <w:tcW w:w="3240" w:type="dxa"/>
            <w:shd w:val="clear" w:color="auto" w:fill="auto"/>
            <w:vAlign w:val="center"/>
          </w:tcPr>
          <w:p w:rsidR="00A8793E" w:rsidRPr="001E03C5" w:rsidRDefault="00A8793E" w:rsidP="006A6400">
            <w:pPr>
              <w:autoSpaceDE w:val="0"/>
              <w:autoSpaceDN w:val="0"/>
              <w:adjustRightInd w:val="0"/>
              <w:spacing w:after="0" w:line="240" w:lineRule="auto"/>
              <w:rPr>
                <w:rStyle w:val="Hyperlink"/>
                <w:rFonts w:ascii="Garamond" w:hAnsi="Garamond"/>
              </w:rPr>
            </w:pPr>
            <w:r w:rsidRPr="001E03C5">
              <w:rPr>
                <w:rStyle w:val="Hyperlink"/>
                <w:rFonts w:ascii="Garamond" w:hAnsi="Garamond"/>
              </w:rPr>
              <w:t>zpaulos@unicef.org</w:t>
            </w:r>
          </w:p>
        </w:tc>
      </w:tr>
      <w:tr w:rsidR="00A8793E" w:rsidRPr="001E03C5" w:rsidTr="00D11A1E">
        <w:tc>
          <w:tcPr>
            <w:tcW w:w="630" w:type="dxa"/>
            <w:shd w:val="clear" w:color="auto" w:fill="auto"/>
            <w:vAlign w:val="center"/>
          </w:tcPr>
          <w:p w:rsidR="00A8793E" w:rsidRPr="001E03C5" w:rsidRDefault="00A8793E" w:rsidP="00F82810">
            <w:pPr>
              <w:pStyle w:val="Header"/>
              <w:numPr>
                <w:ilvl w:val="0"/>
                <w:numId w:val="28"/>
              </w:numPr>
              <w:tabs>
                <w:tab w:val="clear" w:pos="4680"/>
                <w:tab w:val="clear" w:pos="9360"/>
              </w:tabs>
              <w:rPr>
                <w:rFonts w:ascii="Garamond" w:hAnsi="Garamond"/>
              </w:rPr>
            </w:pPr>
          </w:p>
        </w:tc>
        <w:tc>
          <w:tcPr>
            <w:tcW w:w="2047" w:type="dxa"/>
            <w:vMerge/>
            <w:shd w:val="clear" w:color="auto" w:fill="auto"/>
            <w:vAlign w:val="center"/>
          </w:tcPr>
          <w:p w:rsidR="00A8793E" w:rsidRPr="001E03C5" w:rsidRDefault="00A8793E" w:rsidP="006A6400">
            <w:pPr>
              <w:pStyle w:val="Header"/>
              <w:rPr>
                <w:rFonts w:ascii="Garamond" w:hAnsi="Garamond"/>
              </w:rPr>
            </w:pPr>
          </w:p>
        </w:tc>
        <w:tc>
          <w:tcPr>
            <w:tcW w:w="2790" w:type="dxa"/>
            <w:shd w:val="clear" w:color="auto" w:fill="auto"/>
            <w:vAlign w:val="center"/>
          </w:tcPr>
          <w:p w:rsidR="00A8793E" w:rsidRPr="001E03C5" w:rsidRDefault="00A8793E" w:rsidP="004301B8">
            <w:pPr>
              <w:pStyle w:val="Header"/>
              <w:rPr>
                <w:rFonts w:ascii="Garamond" w:hAnsi="Garamond"/>
              </w:rPr>
            </w:pPr>
            <w:r w:rsidRPr="001E03C5">
              <w:rPr>
                <w:rFonts w:ascii="Garamond" w:hAnsi="Garamond"/>
              </w:rPr>
              <w:t>Mr.Vincenzo Vinci</w:t>
            </w:r>
          </w:p>
        </w:tc>
        <w:tc>
          <w:tcPr>
            <w:tcW w:w="2880" w:type="dxa"/>
            <w:shd w:val="clear" w:color="auto" w:fill="auto"/>
            <w:vAlign w:val="center"/>
          </w:tcPr>
          <w:p w:rsidR="00A8793E" w:rsidRPr="001E03C5" w:rsidRDefault="00A8793E" w:rsidP="006A6400">
            <w:pPr>
              <w:pStyle w:val="Header"/>
              <w:rPr>
                <w:rFonts w:ascii="Garamond" w:hAnsi="Garamond"/>
              </w:rPr>
            </w:pPr>
            <w:r w:rsidRPr="001E03C5">
              <w:rPr>
                <w:rFonts w:ascii="Garamond" w:hAnsi="Garamond"/>
              </w:rPr>
              <w:t>Social Policy Specialist</w:t>
            </w:r>
          </w:p>
        </w:tc>
        <w:tc>
          <w:tcPr>
            <w:tcW w:w="3240" w:type="dxa"/>
            <w:shd w:val="clear" w:color="auto" w:fill="auto"/>
            <w:vAlign w:val="center"/>
          </w:tcPr>
          <w:p w:rsidR="00A8793E" w:rsidRPr="001E03C5" w:rsidRDefault="00A8793E" w:rsidP="006A6400">
            <w:pPr>
              <w:autoSpaceDE w:val="0"/>
              <w:autoSpaceDN w:val="0"/>
              <w:adjustRightInd w:val="0"/>
              <w:spacing w:after="0" w:line="240" w:lineRule="auto"/>
              <w:rPr>
                <w:rStyle w:val="Hyperlink"/>
                <w:rFonts w:ascii="Garamond" w:hAnsi="Garamond"/>
              </w:rPr>
            </w:pPr>
            <w:r w:rsidRPr="001E03C5">
              <w:rPr>
                <w:rStyle w:val="Hyperlink"/>
                <w:rFonts w:ascii="Garamond" w:hAnsi="Garamond"/>
              </w:rPr>
              <w:t>vvinci@unicef.org</w:t>
            </w:r>
          </w:p>
        </w:tc>
      </w:tr>
    </w:tbl>
    <w:p w:rsidR="00EB55B7" w:rsidRDefault="00EB55B7" w:rsidP="00EB55B7">
      <w:pPr>
        <w:spacing w:after="0" w:line="240" w:lineRule="auto"/>
        <w:ind w:left="720" w:hanging="720"/>
        <w:jc w:val="center"/>
        <w:rPr>
          <w:rFonts w:ascii="Garamond" w:hAnsi="Garamond"/>
          <w:sz w:val="24"/>
          <w:szCs w:val="24"/>
        </w:rPr>
      </w:pPr>
    </w:p>
    <w:p w:rsidR="00EB55B7" w:rsidRPr="00C017D9" w:rsidRDefault="00EB55B7" w:rsidP="006E4D22">
      <w:pPr>
        <w:spacing w:after="0" w:line="240" w:lineRule="auto"/>
        <w:ind w:left="720" w:hanging="720"/>
        <w:jc w:val="both"/>
        <w:rPr>
          <w:rFonts w:ascii="Garamond" w:hAnsi="Garamond"/>
          <w:sz w:val="24"/>
          <w:szCs w:val="24"/>
        </w:rPr>
      </w:pPr>
    </w:p>
    <w:sectPr w:rsidR="00EB55B7" w:rsidRPr="00C017D9" w:rsidSect="00E45954">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FF1" w:rsidRDefault="00337FF1" w:rsidP="001216D8">
      <w:pPr>
        <w:spacing w:after="0" w:line="240" w:lineRule="auto"/>
      </w:pPr>
      <w:r>
        <w:separator/>
      </w:r>
    </w:p>
  </w:endnote>
  <w:endnote w:type="continuationSeparator" w:id="0">
    <w:p w:rsidR="00337FF1" w:rsidRDefault="00337FF1" w:rsidP="0012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MyriadPro-Regular">
    <w:altName w:val="Cambria"/>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FuturaBT-Book">
    <w:panose1 w:val="00000000000000000000"/>
    <w:charset w:val="00"/>
    <w:family w:val="swiss"/>
    <w:notTrueType/>
    <w:pitch w:val="default"/>
    <w:sig w:usb0="00000003" w:usb1="00000000" w:usb2="00000000" w:usb3="00000000" w:csb0="00000001" w:csb1="00000000"/>
  </w:font>
  <w:font w:name="MyriadPro-Cond">
    <w:altName w:val="Cambria"/>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FUHelvetica">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FuturaBT-Heavy">
    <w:panose1 w:val="00000000000000000000"/>
    <w:charset w:val="00"/>
    <w:family w:val="swiss"/>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HelveticaNeueLTStd-Cn">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Avenir-Light">
    <w:panose1 w:val="00000000000000000000"/>
    <w:charset w:val="00"/>
    <w:family w:val="swiss"/>
    <w:notTrueType/>
    <w:pitch w:val="default"/>
    <w:sig w:usb0="00000003" w:usb1="00000000" w:usb2="00000000" w:usb3="00000000" w:csb0="00000001" w:csb1="00000000"/>
  </w:font>
  <w:font w:name="Avenir-Medium">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Gotham-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kzidenzGroteskB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UI">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FreeSetC">
    <w:altName w:val="Times New Roman"/>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HelveticaNeueLTCom-LtCn">
    <w:panose1 w:val="00000000000000000000"/>
    <w:charset w:val="00"/>
    <w:family w:val="swiss"/>
    <w:notTrueType/>
    <w:pitch w:val="default"/>
    <w:sig w:usb0="00000003" w:usb1="00000000" w:usb2="00000000" w:usb3="00000000" w:csb0="00000001" w:csb1="00000000"/>
  </w:font>
  <w:font w:name="HelveticaNeueLTCom-LtCnO">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26"/>
      <w:docPartObj>
        <w:docPartGallery w:val="Page Numbers (Bottom of Page)"/>
        <w:docPartUnique/>
      </w:docPartObj>
    </w:sdtPr>
    <w:sdtEndPr/>
    <w:sdtContent>
      <w:p w:rsidR="00337FF1" w:rsidRDefault="000B03FF">
        <w:pPr>
          <w:pStyle w:val="Footer"/>
          <w:jc w:val="center"/>
        </w:pPr>
        <w:r>
          <w:fldChar w:fldCharType="begin"/>
        </w:r>
        <w:r>
          <w:instrText xml:space="preserve"> PAGE   \* MERGEFORMAT </w:instrText>
        </w:r>
        <w:r>
          <w:fldChar w:fldCharType="separate"/>
        </w:r>
        <w:r w:rsidR="00702115">
          <w:rPr>
            <w:noProof/>
          </w:rPr>
          <w:t>1</w:t>
        </w:r>
        <w:r>
          <w:rPr>
            <w:noProof/>
          </w:rPr>
          <w:fldChar w:fldCharType="end"/>
        </w:r>
      </w:p>
    </w:sdtContent>
  </w:sdt>
  <w:p w:rsidR="00337FF1" w:rsidRDefault="0033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FF1" w:rsidRDefault="00337FF1" w:rsidP="001216D8">
      <w:pPr>
        <w:spacing w:after="0" w:line="240" w:lineRule="auto"/>
      </w:pPr>
      <w:r>
        <w:separator/>
      </w:r>
    </w:p>
  </w:footnote>
  <w:footnote w:type="continuationSeparator" w:id="0">
    <w:p w:rsidR="00337FF1" w:rsidRDefault="00337FF1" w:rsidP="001216D8">
      <w:pPr>
        <w:spacing w:after="0" w:line="240" w:lineRule="auto"/>
      </w:pPr>
      <w:r>
        <w:continuationSeparator/>
      </w:r>
    </w:p>
  </w:footnote>
  <w:footnote w:id="1">
    <w:p w:rsidR="00337FF1" w:rsidRPr="00857271" w:rsidRDefault="00337FF1" w:rsidP="006F2EF3">
      <w:pPr>
        <w:pStyle w:val="FootnoteText"/>
        <w:jc w:val="both"/>
        <w:rPr>
          <w:rFonts w:ascii="Garamond" w:hAnsi="Garamond"/>
          <w:sz w:val="22"/>
          <w:szCs w:val="22"/>
        </w:rPr>
      </w:pPr>
      <w:r>
        <w:rPr>
          <w:rStyle w:val="FootnoteReference"/>
          <w:rFonts w:ascii="Garamond" w:hAnsi="Garamond"/>
        </w:rPr>
        <w:footnoteRef/>
      </w:r>
      <w:r>
        <w:rPr>
          <w:rFonts w:ascii="Garamond" w:hAnsi="Garamond"/>
        </w:rPr>
        <w:t xml:space="preserve"> </w:t>
      </w:r>
      <w:r w:rsidRPr="00857271">
        <w:rPr>
          <w:rFonts w:ascii="Garamond" w:hAnsi="Garamond"/>
          <w:sz w:val="22"/>
          <w:szCs w:val="22"/>
        </w:rPr>
        <w:t>Framed in terms of the developmental state model, the GTP-I draws on a wide range of tools requiring Government spending, including: targeted financial support (subsidies, bank loans, and equity participation); tariff exemptions for production inputs; tax incentives, including tax holidays, partial profit exemptions, and free trade zones to attract FDI</w:t>
      </w:r>
      <w:r>
        <w:rPr>
          <w:rFonts w:ascii="Garamond" w:hAnsi="Garamond"/>
        </w:rPr>
        <w:t xml:space="preserve"> </w:t>
      </w:r>
      <w:r w:rsidRPr="00857271">
        <w:rPr>
          <w:rFonts w:ascii="Garamond" w:hAnsi="Garamond"/>
          <w:sz w:val="22"/>
          <w:szCs w:val="22"/>
        </w:rPr>
        <w:t>and to promote priority sectors, particularly those facing handicaps such as inadequate specific infrastructure; strategic government procurement (e.g. assured profit margins for domestic pharmaceutical manufacturers in government health-care procurement); publicly financed infrastructure, particularly power, telecommunications and transportation, both internal expansion of the road and rail network and improving the trade corridors; and the creation of public corporations.</w:t>
      </w:r>
    </w:p>
  </w:footnote>
  <w:footnote w:id="2">
    <w:p w:rsidR="00337FF1" w:rsidRPr="0038676C" w:rsidRDefault="00337FF1" w:rsidP="006F2EF3">
      <w:pPr>
        <w:spacing w:after="0" w:line="240" w:lineRule="auto"/>
        <w:jc w:val="both"/>
        <w:rPr>
          <w:rFonts w:ascii="Garamond" w:hAnsi="Garamond" w:cs="Times"/>
        </w:rPr>
      </w:pPr>
      <w:r w:rsidRPr="0038676C">
        <w:rPr>
          <w:rStyle w:val="FootnoteReference"/>
          <w:rFonts w:ascii="Garamond" w:hAnsi="Garamond"/>
        </w:rPr>
        <w:footnoteRef/>
      </w:r>
      <w:r w:rsidRPr="0038676C">
        <w:rPr>
          <w:rFonts w:ascii="Garamond" w:hAnsi="Garamond"/>
        </w:rPr>
        <w:t xml:space="preserve"> </w:t>
      </w:r>
      <w:r w:rsidRPr="0038676C">
        <w:rPr>
          <w:rFonts w:ascii="Garamond" w:hAnsi="Garamond" w:cs="Leelawadee UI"/>
        </w:rPr>
        <w:t xml:space="preserve">This USD 150 billion expenditure doesn’t include the climate change resilience building requirements of specific sectors of the economy. According to the </w:t>
      </w:r>
      <w:r w:rsidRPr="0038676C">
        <w:rPr>
          <w:rFonts w:ascii="Garamond" w:hAnsi="Garamond"/>
        </w:rPr>
        <w:t>Climate Resilience Strategy of Ministry of Water, Irrigation and Electricity, it is anticipated that the sector requires about USD 895 million</w:t>
      </w:r>
      <w:r w:rsidRPr="0038676C">
        <w:rPr>
          <w:rStyle w:val="FootnoteReference"/>
          <w:rFonts w:ascii="Garamond" w:hAnsi="Garamond"/>
        </w:rPr>
        <w:footnoteRef/>
      </w:r>
      <w:r w:rsidRPr="0038676C">
        <w:rPr>
          <w:rFonts w:ascii="Garamond" w:hAnsi="Garamond"/>
        </w:rPr>
        <w:t xml:space="preserve"> for climate resilience building actions. The climate change resilience building resource requirement of the Agriculture and Forest sector has been estimated at USD 150</w:t>
      </w:r>
      <w:r>
        <w:rPr>
          <w:rFonts w:ascii="Garamond" w:hAnsi="Garamond"/>
        </w:rPr>
        <w:t>8</w:t>
      </w:r>
      <w:r w:rsidRPr="0038676C">
        <w:rPr>
          <w:rFonts w:ascii="Garamond" w:hAnsi="Garamond"/>
        </w:rPr>
        <w:t xml:space="preserve"> million.</w:t>
      </w:r>
    </w:p>
    <w:p w:rsidR="00337FF1" w:rsidRDefault="00337FF1" w:rsidP="006F2EF3">
      <w:pPr>
        <w:pStyle w:val="FootnoteText"/>
      </w:pPr>
    </w:p>
  </w:footnote>
  <w:footnote w:id="3">
    <w:p w:rsidR="00337FF1" w:rsidRPr="007A126C" w:rsidRDefault="00337FF1" w:rsidP="006F2EF3">
      <w:pPr>
        <w:autoSpaceDE w:val="0"/>
        <w:autoSpaceDN w:val="0"/>
        <w:adjustRightInd w:val="0"/>
        <w:spacing w:after="0" w:line="240" w:lineRule="auto"/>
        <w:jc w:val="both"/>
        <w:rPr>
          <w:rFonts w:ascii="Garamond" w:hAnsi="Garamond" w:cs="Tahoma"/>
        </w:rPr>
      </w:pPr>
      <w:r w:rsidRPr="007A126C">
        <w:rPr>
          <w:rStyle w:val="FootnoteReference"/>
          <w:rFonts w:ascii="Garamond" w:hAnsi="Garamond"/>
        </w:rPr>
        <w:footnoteRef/>
      </w:r>
      <w:r w:rsidRPr="007A126C">
        <w:rPr>
          <w:rFonts w:ascii="Garamond" w:hAnsi="Garamond" w:cs="Tahoma"/>
        </w:rPr>
        <w:t>The Istanbul Programme of Action (IPoA) for the LDCs charts the international community’s vision for the sustainable development of the LDCs for the decade 2011-2020. The IPoA also recognizes that the lack of access to financial resources represents one of the biggest development constraints facing LDCs.</w:t>
      </w:r>
    </w:p>
    <w:p w:rsidR="00337FF1" w:rsidRDefault="00337FF1" w:rsidP="006F2EF3">
      <w:pPr>
        <w:pStyle w:val="FootnoteText"/>
      </w:pPr>
    </w:p>
  </w:footnote>
  <w:footnote w:id="4">
    <w:p w:rsidR="00337FF1" w:rsidRPr="00652B19" w:rsidRDefault="00337FF1" w:rsidP="009401E0">
      <w:pPr>
        <w:autoSpaceDE w:val="0"/>
        <w:autoSpaceDN w:val="0"/>
        <w:adjustRightInd w:val="0"/>
        <w:spacing w:after="0" w:line="240" w:lineRule="auto"/>
        <w:ind w:left="720" w:hanging="720"/>
        <w:jc w:val="both"/>
        <w:rPr>
          <w:rFonts w:ascii="Garamond" w:hAnsi="Garamond"/>
          <w:sz w:val="20"/>
          <w:szCs w:val="20"/>
        </w:rPr>
      </w:pPr>
      <w:r w:rsidRPr="00983324">
        <w:rPr>
          <w:rFonts w:ascii="Garamond" w:hAnsi="Garamond"/>
          <w:vertAlign w:val="superscript"/>
        </w:rPr>
        <w:footnoteRef/>
      </w:r>
      <w:r w:rsidRPr="00652B19">
        <w:rPr>
          <w:rFonts w:ascii="Garamond" w:hAnsi="Garamond"/>
          <w:sz w:val="20"/>
          <w:szCs w:val="20"/>
        </w:rPr>
        <w:t xml:space="preserve">UN (2016), </w:t>
      </w:r>
      <w:r w:rsidRPr="00652B19">
        <w:rPr>
          <w:rFonts w:ascii="Garamond" w:hAnsi="Garamond"/>
          <w:i/>
          <w:sz w:val="20"/>
          <w:szCs w:val="20"/>
        </w:rPr>
        <w:t>Addis Ababa Action Agenda commitments and actions</w:t>
      </w:r>
      <w:r w:rsidRPr="00652B19">
        <w:rPr>
          <w:rFonts w:ascii="Garamond" w:hAnsi="Garamond"/>
          <w:sz w:val="20"/>
          <w:szCs w:val="20"/>
        </w:rPr>
        <w:t>, Inaugural Report 2016, Inter-agency Task Force on Financing for Development.</w:t>
      </w:r>
    </w:p>
  </w:footnote>
  <w:footnote w:id="5">
    <w:p w:rsidR="00337FF1" w:rsidRPr="00652B19" w:rsidRDefault="00337FF1" w:rsidP="009401E0">
      <w:pPr>
        <w:autoSpaceDE w:val="0"/>
        <w:autoSpaceDN w:val="0"/>
        <w:adjustRightInd w:val="0"/>
        <w:spacing w:after="0" w:line="240" w:lineRule="auto"/>
        <w:ind w:left="720" w:hanging="720"/>
        <w:jc w:val="both"/>
        <w:rPr>
          <w:rStyle w:val="FootnoteReference"/>
          <w:rFonts w:ascii="Garamond" w:hAnsi="Garamond"/>
          <w:sz w:val="20"/>
          <w:szCs w:val="20"/>
        </w:rPr>
      </w:pPr>
      <w:r w:rsidRPr="00652B19">
        <w:rPr>
          <w:rStyle w:val="FootnoteReference"/>
          <w:rFonts w:ascii="Garamond" w:hAnsi="Garamond"/>
          <w:sz w:val="20"/>
          <w:szCs w:val="20"/>
        </w:rPr>
        <w:footnoteRef/>
      </w:r>
      <w:r w:rsidRPr="00652B19">
        <w:rPr>
          <w:rFonts w:ascii="Garamond" w:hAnsi="Garamond" w:cs="HelveticaNeueLTStd-Cn"/>
          <w:sz w:val="20"/>
          <w:szCs w:val="20"/>
        </w:rPr>
        <w:t xml:space="preserve">UNDESA (2016), </w:t>
      </w:r>
      <w:r w:rsidRPr="00652B19">
        <w:rPr>
          <w:rFonts w:ascii="Garamond" w:hAnsi="Garamond"/>
          <w:sz w:val="20"/>
          <w:szCs w:val="20"/>
        </w:rPr>
        <w:t>Financing sustainable development and developing sustainable finance: A DESA Briefing Note on the Addis Ababa Action Agenda.</w:t>
      </w:r>
    </w:p>
  </w:footnote>
  <w:footnote w:id="6">
    <w:p w:rsidR="00337FF1" w:rsidRPr="00652B19" w:rsidRDefault="00337FF1" w:rsidP="003B3503">
      <w:pPr>
        <w:autoSpaceDE w:val="0"/>
        <w:autoSpaceDN w:val="0"/>
        <w:adjustRightInd w:val="0"/>
        <w:spacing w:after="0" w:line="240" w:lineRule="auto"/>
        <w:ind w:left="720" w:hanging="720"/>
        <w:jc w:val="both"/>
        <w:rPr>
          <w:rFonts w:ascii="Garamond" w:hAnsi="Garamond"/>
          <w:sz w:val="20"/>
          <w:szCs w:val="20"/>
        </w:rPr>
      </w:pPr>
      <w:r w:rsidRPr="00652B19">
        <w:rPr>
          <w:rStyle w:val="FootnoteReference"/>
          <w:rFonts w:ascii="Garamond" w:hAnsi="Garamond"/>
          <w:sz w:val="20"/>
          <w:szCs w:val="20"/>
        </w:rPr>
        <w:footnoteRef/>
      </w:r>
      <w:r w:rsidRPr="00652B19">
        <w:rPr>
          <w:rFonts w:ascii="Garamond" w:hAnsi="Garamond" w:cs="HelveticaNeueLTStd-Cn"/>
          <w:sz w:val="20"/>
          <w:szCs w:val="20"/>
        </w:rPr>
        <w:t xml:space="preserve">Kharas, H., Prizzon, A. and Rogerson, A. (2014), </w:t>
      </w:r>
      <w:r w:rsidRPr="00652B19">
        <w:rPr>
          <w:rFonts w:ascii="Garamond" w:hAnsi="Garamond"/>
          <w:i/>
          <w:sz w:val="20"/>
          <w:szCs w:val="20"/>
        </w:rPr>
        <w:t xml:space="preserve">Financing the post-2015 sustainable development goals </w:t>
      </w:r>
      <w:r w:rsidRPr="00652B19">
        <w:rPr>
          <w:rFonts w:ascii="Garamond" w:hAnsi="Garamond"/>
          <w:sz w:val="20"/>
          <w:szCs w:val="20"/>
        </w:rPr>
        <w:t xml:space="preserve">(SDGs), Overseas Development Institute (ODI), UK. </w:t>
      </w:r>
    </w:p>
  </w:footnote>
  <w:footnote w:id="7">
    <w:p w:rsidR="00337FF1" w:rsidRPr="00687A8D" w:rsidRDefault="00337FF1" w:rsidP="003B3503">
      <w:pPr>
        <w:autoSpaceDE w:val="0"/>
        <w:autoSpaceDN w:val="0"/>
        <w:adjustRightInd w:val="0"/>
        <w:spacing w:after="0" w:line="240" w:lineRule="auto"/>
        <w:ind w:left="720" w:hanging="720"/>
        <w:rPr>
          <w:rFonts w:ascii="Garamond" w:hAnsi="Garamond"/>
          <w:sz w:val="20"/>
          <w:szCs w:val="20"/>
        </w:rPr>
      </w:pPr>
      <w:r w:rsidRPr="00652B19">
        <w:rPr>
          <w:rStyle w:val="FootnoteReference"/>
          <w:rFonts w:ascii="Garamond" w:hAnsi="Garamond"/>
          <w:sz w:val="20"/>
          <w:szCs w:val="20"/>
        </w:rPr>
        <w:footnoteRef/>
      </w:r>
      <w:r w:rsidRPr="00652B19">
        <w:rPr>
          <w:rFonts w:ascii="Garamond" w:hAnsi="Garamond"/>
          <w:sz w:val="20"/>
          <w:szCs w:val="20"/>
        </w:rPr>
        <w:t xml:space="preserve">AP-DEF and UNDP (2016), Achieving sustainable development goals in the era of the Addis Ababa Action Agenda: </w:t>
      </w:r>
      <w:r w:rsidRPr="00652B19">
        <w:rPr>
          <w:rFonts w:ascii="Garamond" w:eastAsia="Calibri" w:hAnsi="Garamond" w:cs="Calibri"/>
          <w:color w:val="000000"/>
          <w:sz w:val="20"/>
          <w:szCs w:val="20"/>
        </w:rPr>
        <w:t>Progress on establishing integrated national financing frameworks in the Asia-Pacific region</w:t>
      </w:r>
      <w:r>
        <w:rPr>
          <w:rFonts w:ascii="Garamond" w:hAnsi="Garamond"/>
          <w:sz w:val="20"/>
          <w:szCs w:val="20"/>
        </w:rPr>
        <w:t xml:space="preserve">. </w:t>
      </w:r>
    </w:p>
  </w:footnote>
  <w:footnote w:id="8">
    <w:p w:rsidR="00337FF1" w:rsidRPr="00AF624A" w:rsidRDefault="00337FF1" w:rsidP="004004B9">
      <w:pPr>
        <w:autoSpaceDE w:val="0"/>
        <w:autoSpaceDN w:val="0"/>
        <w:adjustRightInd w:val="0"/>
        <w:spacing w:after="0" w:line="240" w:lineRule="auto"/>
        <w:ind w:left="720" w:hanging="720"/>
        <w:rPr>
          <w:rFonts w:ascii="Garamond" w:hAnsi="Garamond"/>
          <w:sz w:val="20"/>
          <w:szCs w:val="20"/>
        </w:rPr>
      </w:pPr>
      <w:r w:rsidRPr="00652B19">
        <w:rPr>
          <w:rFonts w:ascii="Garamond" w:hAnsi="Garamond"/>
          <w:sz w:val="20"/>
          <w:szCs w:val="20"/>
          <w:vertAlign w:val="superscript"/>
        </w:rPr>
        <w:footnoteRef/>
      </w:r>
      <w:r>
        <w:rPr>
          <w:rFonts w:ascii="Garamond" w:eastAsia="Calibri" w:hAnsi="Garamond" w:cs="Calibri"/>
          <w:color w:val="000000"/>
          <w:sz w:val="20"/>
          <w:szCs w:val="20"/>
        </w:rPr>
        <w:t xml:space="preserve"> </w:t>
      </w:r>
      <w:r w:rsidRPr="00185D39">
        <w:rPr>
          <w:rFonts w:ascii="Garamond" w:eastAsia="Calibri" w:hAnsi="Garamond" w:cs="Calibri"/>
          <w:color w:val="000000"/>
          <w:sz w:val="20"/>
          <w:szCs w:val="20"/>
        </w:rPr>
        <w:t xml:space="preserve">Bjornestad, L., Hossain, J., Sinha, J. and Stratta, N. (2016), </w:t>
      </w:r>
      <w:r w:rsidRPr="00687A8D">
        <w:rPr>
          <w:rFonts w:ascii="Garamond" w:hAnsi="Garamond"/>
          <w:sz w:val="20"/>
          <w:szCs w:val="20"/>
        </w:rPr>
        <w:t>Strengthening Finance for</w:t>
      </w:r>
      <w:r>
        <w:rPr>
          <w:rFonts w:ascii="Garamond" w:hAnsi="Garamond"/>
          <w:sz w:val="20"/>
          <w:szCs w:val="20"/>
        </w:rPr>
        <w:t xml:space="preserve"> </w:t>
      </w:r>
      <w:r w:rsidRPr="00687A8D">
        <w:rPr>
          <w:rFonts w:ascii="Garamond" w:hAnsi="Garamond"/>
          <w:sz w:val="20"/>
          <w:szCs w:val="20"/>
        </w:rPr>
        <w:t>the 7th Five Year Plan and SDGs</w:t>
      </w:r>
      <w:r>
        <w:rPr>
          <w:rFonts w:ascii="Garamond" w:hAnsi="Garamond"/>
          <w:sz w:val="20"/>
          <w:szCs w:val="20"/>
        </w:rPr>
        <w:t xml:space="preserve"> </w:t>
      </w:r>
      <w:r w:rsidRPr="00687A8D">
        <w:rPr>
          <w:rFonts w:ascii="Garamond" w:hAnsi="Garamond"/>
          <w:sz w:val="20"/>
          <w:szCs w:val="20"/>
        </w:rPr>
        <w:t>in Bangladesh</w:t>
      </w:r>
      <w:r>
        <w:rPr>
          <w:rFonts w:ascii="Garamond" w:hAnsi="Garamond"/>
          <w:sz w:val="20"/>
          <w:szCs w:val="20"/>
        </w:rPr>
        <w:t xml:space="preserve">: </w:t>
      </w:r>
      <w:r w:rsidRPr="00687A8D">
        <w:rPr>
          <w:rFonts w:ascii="Garamond" w:hAnsi="Garamond"/>
          <w:sz w:val="20"/>
          <w:szCs w:val="20"/>
        </w:rPr>
        <w:t>Findings from an Independent Development Finance Assessment</w:t>
      </w:r>
      <w:r>
        <w:rPr>
          <w:rFonts w:ascii="Garamond" w:hAnsi="Garamond"/>
          <w:sz w:val="20"/>
          <w:szCs w:val="20"/>
        </w:rPr>
        <w:t xml:space="preserve">; UN, EU and </w:t>
      </w:r>
      <w:r w:rsidRPr="00AF624A">
        <w:rPr>
          <w:rFonts w:ascii="Garamond" w:hAnsi="Garamond"/>
          <w:sz w:val="20"/>
          <w:szCs w:val="20"/>
        </w:rPr>
        <w:t>Ministry of Planning and Investment of Viet Nam</w:t>
      </w:r>
      <w:r>
        <w:rPr>
          <w:rFonts w:ascii="Garamond" w:hAnsi="Garamond"/>
          <w:sz w:val="20"/>
          <w:szCs w:val="20"/>
        </w:rPr>
        <w:t xml:space="preserve"> (2014), Development Finance for sustainable development goals in the middle income Viet Name: </w:t>
      </w:r>
      <w:r w:rsidRPr="004004B9">
        <w:rPr>
          <w:rFonts w:ascii="Garamond" w:hAnsi="Garamond"/>
          <w:sz w:val="20"/>
          <w:szCs w:val="20"/>
        </w:rPr>
        <w:t>Financing Viet Nam’s Development:</w:t>
      </w:r>
      <w:r>
        <w:rPr>
          <w:rFonts w:ascii="Garamond" w:hAnsi="Garamond"/>
          <w:sz w:val="20"/>
          <w:szCs w:val="20"/>
        </w:rPr>
        <w:t xml:space="preserve"> </w:t>
      </w:r>
      <w:r w:rsidRPr="004004B9">
        <w:rPr>
          <w:rFonts w:ascii="Garamond" w:hAnsi="Garamond"/>
          <w:sz w:val="20"/>
          <w:szCs w:val="20"/>
        </w:rPr>
        <w:t>meeting the new challenges</w:t>
      </w:r>
      <w:r>
        <w:rPr>
          <w:rFonts w:ascii="Garamond" w:hAnsi="Garamond"/>
          <w:sz w:val="20"/>
          <w:szCs w:val="20"/>
        </w:rPr>
        <w:t xml:space="preserve">. </w:t>
      </w:r>
    </w:p>
  </w:footnote>
  <w:footnote w:id="9">
    <w:p w:rsidR="00337FF1" w:rsidRPr="0003639A" w:rsidRDefault="00337FF1" w:rsidP="00A30924">
      <w:pPr>
        <w:pStyle w:val="FootnoteText"/>
        <w:jc w:val="both"/>
        <w:rPr>
          <w:rFonts w:ascii="Garamond" w:hAnsi="Garamond"/>
          <w:sz w:val="22"/>
          <w:szCs w:val="22"/>
        </w:rPr>
      </w:pPr>
      <w:r w:rsidRPr="0003639A">
        <w:rPr>
          <w:rStyle w:val="FootnoteReference"/>
          <w:rFonts w:ascii="Garamond" w:hAnsi="Garamond"/>
          <w:sz w:val="22"/>
          <w:szCs w:val="22"/>
        </w:rPr>
        <w:footnoteRef/>
      </w:r>
      <w:r w:rsidRPr="00996F0A">
        <w:rPr>
          <w:rFonts w:ascii="Garamond" w:hAnsi="Garamond" w:cs="Tahoma"/>
          <w:sz w:val="22"/>
          <w:szCs w:val="22"/>
        </w:rPr>
        <w:t>The Addis Ababa Action Agenda is the outcome of the Third International Conference on Financing for Development, which took place in Addis Ababa, Ethiopia, in July 2015</w:t>
      </w:r>
      <w:r>
        <w:rPr>
          <w:rFonts w:ascii="Garamond" w:hAnsi="Garamond" w:cs="Tahoma"/>
          <w:sz w:val="22"/>
          <w:szCs w:val="22"/>
        </w:rPr>
        <w:t xml:space="preserve"> (see </w:t>
      </w:r>
      <w:r w:rsidRPr="00561A13">
        <w:rPr>
          <w:rFonts w:ascii="Garamond" w:hAnsi="Garamond"/>
          <w:color w:val="555555"/>
          <w:sz w:val="22"/>
          <w:szCs w:val="22"/>
          <w:shd w:val="clear" w:color="auto" w:fill="FFFFFF"/>
        </w:rPr>
        <w:t>the General Assembly resolution 69/313</w:t>
      </w:r>
      <w:r>
        <w:rPr>
          <w:rFonts w:ascii="Garamond" w:hAnsi="Garamond"/>
          <w:color w:val="555555"/>
          <w:sz w:val="22"/>
          <w:szCs w:val="22"/>
          <w:shd w:val="clear" w:color="auto" w:fill="FFFFFF"/>
        </w:rPr>
        <w:t>)</w:t>
      </w:r>
      <w:r w:rsidRPr="00561A13">
        <w:rPr>
          <w:rFonts w:ascii="Garamond" w:hAnsi="Garamond"/>
          <w:color w:val="555555"/>
          <w:sz w:val="22"/>
          <w:szCs w:val="22"/>
          <w:shd w:val="clear" w:color="auto" w:fill="FFFFFF"/>
        </w:rPr>
        <w:t>.</w:t>
      </w:r>
      <w:r w:rsidRPr="0003639A">
        <w:rPr>
          <w:rFonts w:ascii="Garamond" w:hAnsi="Garamond"/>
          <w:color w:val="555555"/>
          <w:sz w:val="22"/>
          <w:szCs w:val="22"/>
          <w:shd w:val="clear" w:color="auto" w:fill="FFFFFF"/>
        </w:rPr>
        <w:t xml:space="preserve"> </w:t>
      </w:r>
    </w:p>
  </w:footnote>
  <w:footnote w:id="10">
    <w:p w:rsidR="00337FF1" w:rsidRPr="009D29DE" w:rsidRDefault="00337FF1">
      <w:pPr>
        <w:pStyle w:val="FootnoteText"/>
        <w:rPr>
          <w:rFonts w:ascii="Garamond" w:hAnsi="Garamond"/>
        </w:rPr>
      </w:pPr>
      <w:r w:rsidRPr="009D29DE">
        <w:rPr>
          <w:rStyle w:val="FootnoteReference"/>
          <w:rFonts w:ascii="Garamond" w:hAnsi="Garamond"/>
        </w:rPr>
        <w:footnoteRef/>
      </w:r>
      <w:r w:rsidRPr="009D29DE">
        <w:rPr>
          <w:rFonts w:ascii="Garamond" w:hAnsi="Garamond"/>
        </w:rPr>
        <w:t xml:space="preserve"> On list of cross-cutting issues see UN (2015)</w:t>
      </w:r>
      <w:r>
        <w:rPr>
          <w:rFonts w:ascii="Garamond" w:hAnsi="Garamond"/>
        </w:rPr>
        <w:t xml:space="preserve"> and </w:t>
      </w:r>
      <w:r w:rsidRPr="009D29DE">
        <w:rPr>
          <w:rFonts w:ascii="Garamond" w:hAnsi="Garamond"/>
        </w:rPr>
        <w:t xml:space="preserve">General Assembly resolution 69/313 of 27 July 2015. </w:t>
      </w:r>
    </w:p>
  </w:footnote>
  <w:footnote w:id="11">
    <w:p w:rsidR="00337FF1" w:rsidRPr="00013991" w:rsidRDefault="00337FF1" w:rsidP="001216D8">
      <w:pPr>
        <w:autoSpaceDE w:val="0"/>
        <w:autoSpaceDN w:val="0"/>
        <w:adjustRightInd w:val="0"/>
        <w:spacing w:after="0" w:line="240" w:lineRule="auto"/>
        <w:jc w:val="both"/>
        <w:rPr>
          <w:rFonts w:ascii="Garamond" w:hAnsi="Garamond" w:cs="TimesNewRoman"/>
        </w:rPr>
      </w:pPr>
      <w:r>
        <w:rPr>
          <w:rStyle w:val="FootnoteReference"/>
        </w:rPr>
        <w:footnoteRef/>
      </w:r>
      <w:r>
        <w:t xml:space="preserve"> </w:t>
      </w:r>
      <w:r w:rsidRPr="00013991">
        <w:rPr>
          <w:rFonts w:ascii="Garamond" w:hAnsi="Garamond" w:cs="TimesNewRoman"/>
        </w:rPr>
        <w:t>Acknowledging that the United Nations Convention on Climate Change is the primary international, intergovernmental forum for negotiating the global response to climate change.</w:t>
      </w:r>
    </w:p>
    <w:p w:rsidR="00337FF1" w:rsidRDefault="00337FF1" w:rsidP="001216D8">
      <w:pPr>
        <w:pStyle w:val="FootnoteText"/>
      </w:pPr>
    </w:p>
  </w:footnote>
  <w:footnote w:id="12">
    <w:p w:rsidR="00337FF1" w:rsidRPr="003035B4" w:rsidRDefault="00337FF1" w:rsidP="003035B4">
      <w:pPr>
        <w:spacing w:after="0" w:line="240" w:lineRule="auto"/>
        <w:jc w:val="both"/>
        <w:rPr>
          <w:rFonts w:ascii="Garamond" w:hAnsi="Garamond"/>
        </w:rPr>
      </w:pPr>
      <w:r w:rsidRPr="003035B4">
        <w:rPr>
          <w:rStyle w:val="FootnoteReference"/>
          <w:rFonts w:ascii="Garamond" w:hAnsi="Garamond"/>
        </w:rPr>
        <w:footnoteRef/>
      </w:r>
      <w:r w:rsidRPr="003035B4">
        <w:rPr>
          <w:rFonts w:ascii="Garamond" w:hAnsi="Garamond"/>
        </w:rPr>
        <w:t xml:space="preserve"> </w:t>
      </w:r>
      <w:r w:rsidRPr="003035B4">
        <w:rPr>
          <w:rFonts w:ascii="Garamond" w:hAnsi="Garamond"/>
          <w:lang w:val="en-GB"/>
        </w:rPr>
        <w:t xml:space="preserve">See Ferede, T. (2016), </w:t>
      </w:r>
      <w:r w:rsidRPr="003035B4">
        <w:rPr>
          <w:rFonts w:ascii="Garamond" w:hAnsi="Garamond"/>
        </w:rPr>
        <w:t>Supporting African governments in development planning and the integration of globally agreed sustainable development frameworks into national development frameworks</w:t>
      </w:r>
      <w:r>
        <w:rPr>
          <w:rFonts w:ascii="Garamond" w:hAnsi="Garamond"/>
        </w:rPr>
        <w:t xml:space="preserve">: </w:t>
      </w:r>
      <w:r w:rsidRPr="003035B4">
        <w:rPr>
          <w:rFonts w:ascii="Garamond" w:hAnsi="Garamond"/>
        </w:rPr>
        <w:t>An application of mainstreaming toolkit to Ethiopia</w:t>
      </w:r>
      <w:r>
        <w:rPr>
          <w:rFonts w:ascii="Garamond" w:hAnsi="Garamond"/>
        </w:rPr>
        <w:t xml:space="preserve">, a research report prepared for the Macroeconomic Division of UNECA. </w:t>
      </w:r>
    </w:p>
    <w:p w:rsidR="00337FF1" w:rsidRPr="003035B4" w:rsidRDefault="00337FF1">
      <w:pPr>
        <w:pStyle w:val="FootnoteText"/>
        <w:rPr>
          <w:lang w:val="en-GB"/>
        </w:rPr>
      </w:pPr>
    </w:p>
  </w:footnote>
  <w:footnote w:id="13">
    <w:p w:rsidR="00337FF1" w:rsidRPr="00F363EB" w:rsidRDefault="00337FF1" w:rsidP="001D4C6C">
      <w:pPr>
        <w:pStyle w:val="FootnoteText"/>
        <w:rPr>
          <w:rFonts w:ascii="Garamond" w:hAnsi="Garamond"/>
          <w:sz w:val="22"/>
          <w:szCs w:val="22"/>
          <w:lang w:val="en-GB"/>
        </w:rPr>
      </w:pPr>
      <w:r w:rsidRPr="00F363EB">
        <w:rPr>
          <w:rStyle w:val="FootnoteReference"/>
          <w:rFonts w:ascii="Garamond" w:hAnsi="Garamond"/>
          <w:sz w:val="22"/>
          <w:szCs w:val="22"/>
        </w:rPr>
        <w:footnoteRef/>
      </w:r>
      <w:r w:rsidRPr="00F363EB">
        <w:rPr>
          <w:rFonts w:ascii="Garamond" w:hAnsi="Garamond"/>
          <w:sz w:val="22"/>
          <w:szCs w:val="22"/>
        </w:rPr>
        <w:t xml:space="preserve"> With the exception of Addis Ababa, all regional states (ten in number) benefit from the federal government subsidy. </w:t>
      </w:r>
      <w:r>
        <w:rPr>
          <w:rFonts w:ascii="Garamond" w:hAnsi="Garamond"/>
          <w:sz w:val="22"/>
          <w:szCs w:val="22"/>
        </w:rPr>
        <w:t xml:space="preserve">The regional general purpose grant formula is prepared by the House of Federation. </w:t>
      </w:r>
    </w:p>
  </w:footnote>
  <w:footnote w:id="14">
    <w:p w:rsidR="00337FF1" w:rsidRPr="00B04EB7" w:rsidRDefault="00337FF1" w:rsidP="008046F4">
      <w:pPr>
        <w:pStyle w:val="FootnoteText"/>
        <w:jc w:val="both"/>
        <w:rPr>
          <w:rFonts w:ascii="Garamond" w:hAnsi="Garamond"/>
          <w:sz w:val="22"/>
          <w:szCs w:val="22"/>
        </w:rPr>
      </w:pPr>
      <w:r w:rsidRPr="0069643F">
        <w:rPr>
          <w:rStyle w:val="FootnoteReference"/>
          <w:rFonts w:ascii="Garamond" w:hAnsi="Garamond"/>
          <w:sz w:val="22"/>
          <w:szCs w:val="22"/>
        </w:rPr>
        <w:footnoteRef/>
      </w:r>
      <w:r w:rsidRPr="0069643F">
        <w:rPr>
          <w:rFonts w:ascii="Garamond" w:hAnsi="Garamond"/>
          <w:sz w:val="22"/>
          <w:szCs w:val="22"/>
        </w:rPr>
        <w:t xml:space="preserve"> </w:t>
      </w:r>
      <w:r w:rsidRPr="00B04EB7">
        <w:rPr>
          <w:rFonts w:ascii="Garamond" w:hAnsi="Garamond"/>
          <w:sz w:val="22"/>
          <w:szCs w:val="22"/>
        </w:rPr>
        <w:t xml:space="preserve">In its 2016 study, the IFC estimated the tax compliance cost for Ethiopia in two ways: with and without acquisition and maintenance costs of software and hardware. If the acquisition and maintenance costs of software and hardware </w:t>
      </w:r>
      <w:r>
        <w:rPr>
          <w:rFonts w:ascii="Garamond" w:hAnsi="Garamond"/>
          <w:sz w:val="22"/>
          <w:szCs w:val="22"/>
        </w:rPr>
        <w:t xml:space="preserve">are </w:t>
      </w:r>
      <w:r w:rsidRPr="00B04EB7">
        <w:rPr>
          <w:rFonts w:ascii="Garamond" w:hAnsi="Garamond"/>
          <w:sz w:val="22"/>
          <w:szCs w:val="22"/>
        </w:rPr>
        <w:t xml:space="preserve">included, the tax compliance cost a share of turnover would be 5.4 percent, otherwise 4.7 percent (i.e. without acquisition and maintenance costs of software and hardware). </w:t>
      </w:r>
    </w:p>
  </w:footnote>
  <w:footnote w:id="15">
    <w:p w:rsidR="00337FF1" w:rsidRPr="006057D7" w:rsidRDefault="00337FF1" w:rsidP="008046F4">
      <w:pPr>
        <w:spacing w:after="0" w:line="240" w:lineRule="auto"/>
        <w:jc w:val="both"/>
        <w:rPr>
          <w:rFonts w:ascii="Garamond" w:hAnsi="Garamond"/>
        </w:rPr>
      </w:pPr>
      <w:r>
        <w:rPr>
          <w:rStyle w:val="FootnoteReference"/>
        </w:rPr>
        <w:footnoteRef/>
      </w:r>
      <w:r>
        <w:t xml:space="preserve"> </w:t>
      </w:r>
      <w:r w:rsidRPr="006057D7">
        <w:rPr>
          <w:rFonts w:ascii="Garamond" w:hAnsi="Garamond" w:cs="Arial"/>
          <w:color w:val="000000"/>
        </w:rPr>
        <w:t xml:space="preserve">The income tax legislation classifies businesses into three categories </w:t>
      </w:r>
      <w:r>
        <w:rPr>
          <w:rFonts w:ascii="Garamond" w:hAnsi="Garamond" w:cs="Arial"/>
          <w:color w:val="000000"/>
        </w:rPr>
        <w:t>based on turnover</w:t>
      </w:r>
      <w:r w:rsidRPr="006057D7">
        <w:rPr>
          <w:rFonts w:ascii="Garamond" w:hAnsi="Garamond" w:cs="Arial"/>
          <w:color w:val="000000"/>
        </w:rPr>
        <w:t>.</w:t>
      </w:r>
      <w:r w:rsidRPr="006057D7">
        <w:rPr>
          <w:rFonts w:ascii="Arial" w:hAnsi="Arial" w:cs="Arial"/>
          <w:color w:val="000000"/>
          <w:sz w:val="24"/>
          <w:szCs w:val="24"/>
        </w:rPr>
        <w:t xml:space="preserve"> </w:t>
      </w:r>
      <w:r w:rsidRPr="006057D7">
        <w:rPr>
          <w:rFonts w:ascii="Garamond" w:hAnsi="Garamond"/>
        </w:rPr>
        <w:t>Category A businesses are those that have annual turnover of ETB 500,000 or above and all incorporated entities</w:t>
      </w:r>
      <w:r>
        <w:rPr>
          <w:rFonts w:ascii="Garamond" w:hAnsi="Garamond"/>
        </w:rPr>
        <w:t xml:space="preserve">, while </w:t>
      </w:r>
      <w:r w:rsidRPr="006057D7">
        <w:rPr>
          <w:rFonts w:ascii="Garamond" w:hAnsi="Garamond"/>
        </w:rPr>
        <w:t>Category B includes those that are not already classified as A and have annual turnover of more than ETB 100,000 but less than ETB500, 000. Category C taxpayers are those that are not already included in categories A and B and have annual turnover up to ETB 100,000</w:t>
      </w:r>
      <w:r>
        <w:rPr>
          <w:rFonts w:ascii="Garamond" w:hAnsi="Garamond"/>
        </w:rPr>
        <w:t xml:space="preserve"> (See </w:t>
      </w:r>
      <w:r w:rsidRPr="00DB059D">
        <w:rPr>
          <w:rFonts w:ascii="Garamond" w:hAnsi="Garamond"/>
        </w:rPr>
        <w:t>Income tax proclamation No. 286/2002 (as amended) and Council of Ministers regulations 78/2002 (as amended))</w:t>
      </w:r>
      <w:r w:rsidRPr="006057D7">
        <w:rPr>
          <w:rFonts w:ascii="Garamond" w:hAnsi="Garamond"/>
        </w:rPr>
        <w:t xml:space="preserve">.  </w:t>
      </w:r>
    </w:p>
    <w:p w:rsidR="00337FF1" w:rsidRPr="006057D7" w:rsidRDefault="00337FF1" w:rsidP="008046F4">
      <w:pPr>
        <w:pStyle w:val="FootnoteText"/>
        <w:rPr>
          <w:rFonts w:ascii="Garamond" w:hAnsi="Garamond"/>
          <w:sz w:val="22"/>
          <w:szCs w:val="22"/>
        </w:rPr>
      </w:pPr>
    </w:p>
  </w:footnote>
  <w:footnote w:id="16">
    <w:p w:rsidR="00337FF1" w:rsidRPr="004D7108" w:rsidRDefault="00337FF1" w:rsidP="00BF52ED">
      <w:pPr>
        <w:pStyle w:val="FootnoteText"/>
        <w:jc w:val="both"/>
        <w:rPr>
          <w:rFonts w:ascii="Garamond" w:hAnsi="Garamond"/>
        </w:rPr>
      </w:pPr>
      <w:r>
        <w:rPr>
          <w:rStyle w:val="FootnoteReference"/>
        </w:rPr>
        <w:footnoteRef/>
      </w:r>
      <w:r>
        <w:t xml:space="preserve"> </w:t>
      </w:r>
      <w:r w:rsidRPr="004D7108">
        <w:rPr>
          <w:rFonts w:ascii="Garamond" w:hAnsi="Garamond"/>
        </w:rPr>
        <w:t>Ethiopia issue</w:t>
      </w:r>
      <w:r>
        <w:rPr>
          <w:rFonts w:ascii="Garamond" w:hAnsi="Garamond"/>
        </w:rPr>
        <w:t>d</w:t>
      </w:r>
      <w:r w:rsidRPr="004D7108">
        <w:rPr>
          <w:rFonts w:ascii="Garamond" w:hAnsi="Garamond"/>
        </w:rPr>
        <w:t xml:space="preserve"> a transfer pricing rules in 2015</w:t>
      </w:r>
      <w:r>
        <w:rPr>
          <w:rFonts w:ascii="Garamond" w:hAnsi="Garamond"/>
        </w:rPr>
        <w:t xml:space="preserve"> as part of its income tax proclamation. The explicit adoption of the transfer pricing rules provides guidance, especially for multinational enterprises wishing to do business in Ethiopia to arrange their businesses to comply with the ‘arm’s length’ principle.  </w:t>
      </w:r>
    </w:p>
  </w:footnote>
  <w:footnote w:id="17">
    <w:p w:rsidR="00337FF1" w:rsidRDefault="00337FF1">
      <w:pPr>
        <w:pStyle w:val="FootnoteText"/>
        <w:rPr>
          <w:rFonts w:ascii="Garamond" w:hAnsi="Garamond"/>
        </w:rPr>
      </w:pPr>
      <w:r w:rsidRPr="009F4DCF">
        <w:rPr>
          <w:rStyle w:val="FootnoteReference"/>
          <w:rFonts w:ascii="Garamond" w:hAnsi="Garamond"/>
        </w:rPr>
        <w:footnoteRef/>
      </w:r>
      <w:r w:rsidRPr="009F4DCF">
        <w:rPr>
          <w:rFonts w:ascii="Garamond" w:hAnsi="Garamond"/>
        </w:rPr>
        <w:t xml:space="preserve"> </w:t>
      </w:r>
      <w:r>
        <w:rPr>
          <w:rFonts w:ascii="Garamond" w:hAnsi="Garamond"/>
        </w:rPr>
        <w:t xml:space="preserve">See </w:t>
      </w:r>
      <w:hyperlink r:id="rId1" w:history="1">
        <w:r w:rsidRPr="00BE71CA">
          <w:rPr>
            <w:rStyle w:val="Hyperlink"/>
            <w:rFonts w:ascii="Garamond" w:hAnsi="Garamond"/>
          </w:rPr>
          <w:t>http://web.undp.org/thenewpublicfinance/index.html</w:t>
        </w:r>
      </w:hyperlink>
    </w:p>
    <w:p w:rsidR="00337FF1" w:rsidRPr="009F4DCF" w:rsidRDefault="00337FF1">
      <w:pPr>
        <w:pStyle w:val="FootnoteText"/>
        <w:rPr>
          <w:rFonts w:ascii="Garamond" w:hAnsi="Garamond"/>
        </w:rPr>
      </w:pPr>
    </w:p>
  </w:footnote>
  <w:footnote w:id="18">
    <w:p w:rsidR="00337FF1" w:rsidRPr="000C7E07" w:rsidRDefault="00337FF1" w:rsidP="000C7E07">
      <w:pPr>
        <w:pStyle w:val="FootnoteText"/>
        <w:rPr>
          <w:rFonts w:ascii="Garamond" w:hAnsi="Garamond"/>
        </w:rPr>
      </w:pPr>
      <w:r w:rsidRPr="000C7E07">
        <w:rPr>
          <w:rStyle w:val="FootnoteReference"/>
          <w:rFonts w:ascii="Garamond" w:hAnsi="Garamond"/>
        </w:rPr>
        <w:footnoteRef/>
      </w:r>
      <w:r w:rsidRPr="000C7E07">
        <w:rPr>
          <w:rFonts w:ascii="Garamond" w:hAnsi="Garamond"/>
        </w:rPr>
        <w:t xml:space="preserve"> </w:t>
      </w:r>
      <w:r>
        <w:rPr>
          <w:rFonts w:ascii="Garamond" w:hAnsi="Garamond"/>
        </w:rPr>
        <w:t xml:space="preserve">For example, </w:t>
      </w:r>
      <w:r w:rsidRPr="000C7E07">
        <w:rPr>
          <w:rFonts w:ascii="Garamond" w:hAnsi="Garamond"/>
        </w:rPr>
        <w:t>Dream Light Plc for solid waste management and recycling in Bahir Dar</w:t>
      </w:r>
      <w:r>
        <w:rPr>
          <w:rFonts w:ascii="Garamond" w:hAnsi="Garamond"/>
        </w:rPr>
        <w:t xml:space="preserve"> with partnership involving Dream Light Plc, Bahir Dar City Administration, UNDP, UNEP, GIZ, and </w:t>
      </w:r>
      <w:r w:rsidRPr="000C7E07">
        <w:rPr>
          <w:rFonts w:ascii="Garamond" w:hAnsi="Garamond"/>
        </w:rPr>
        <w:t>Bureaus for Health and Environment Protection</w:t>
      </w:r>
      <w:r>
        <w:rPr>
          <w:rFonts w:ascii="Garamond" w:hAnsi="Garamond"/>
        </w:rPr>
        <w:t xml:space="preserve"> of the region (see </w:t>
      </w:r>
      <w:r w:rsidRPr="000C7E07">
        <w:rPr>
          <w:rFonts w:ascii="Garamond" w:hAnsi="Garamond"/>
        </w:rPr>
        <w:t>Asubonteng, 2011).</w:t>
      </w:r>
    </w:p>
  </w:footnote>
  <w:footnote w:id="19">
    <w:p w:rsidR="00337FF1" w:rsidRPr="00C63A4F" w:rsidRDefault="00337FF1" w:rsidP="00036B8B">
      <w:pPr>
        <w:autoSpaceDE w:val="0"/>
        <w:autoSpaceDN w:val="0"/>
        <w:adjustRightInd w:val="0"/>
        <w:spacing w:after="0" w:line="240" w:lineRule="auto"/>
        <w:jc w:val="both"/>
        <w:rPr>
          <w:rFonts w:ascii="Garamond" w:hAnsi="Garamond"/>
        </w:rPr>
      </w:pPr>
      <w:r w:rsidRPr="00A3057B">
        <w:rPr>
          <w:rStyle w:val="FootnoteReference"/>
          <w:rFonts w:ascii="Garamond" w:hAnsi="Garamond"/>
        </w:rPr>
        <w:footnoteRef/>
      </w:r>
      <w:r w:rsidRPr="00A3057B">
        <w:rPr>
          <w:rFonts w:ascii="Garamond" w:hAnsi="Garamond"/>
        </w:rPr>
        <w:t xml:space="preserve"> </w:t>
      </w:r>
      <w:r w:rsidRPr="000C7E07">
        <w:rPr>
          <w:rFonts w:ascii="Garamond" w:hAnsi="Garamond"/>
          <w:sz w:val="20"/>
          <w:szCs w:val="20"/>
        </w:rPr>
        <w:t>There are different models of public-private partnership including service contracts, management contracts, lease agreement, franchise, joint venture, concession, BOT (Build-operate-transfer) and BOOT (Build-own-operate-transfer) (UNDP, 2015). Under the BOT model, private sector builds and operates a public service company (e.g. waste treatment plant) for a specified time after which ownership reverts to the government, while the BOOT model involves a private sector company finances, constructs, owns and operates the infrastructure for a fixed term.</w:t>
      </w:r>
    </w:p>
  </w:footnote>
  <w:footnote w:id="20">
    <w:p w:rsidR="00337FF1" w:rsidRPr="009B3223" w:rsidRDefault="00337FF1">
      <w:pPr>
        <w:pStyle w:val="FootnoteText"/>
        <w:rPr>
          <w:rFonts w:ascii="Garamond" w:hAnsi="Garamond"/>
          <w:sz w:val="22"/>
          <w:szCs w:val="22"/>
        </w:rPr>
      </w:pPr>
      <w:r w:rsidRPr="009B3223">
        <w:rPr>
          <w:rStyle w:val="FootnoteReference"/>
          <w:rFonts w:ascii="Garamond" w:hAnsi="Garamond"/>
          <w:sz w:val="22"/>
          <w:szCs w:val="22"/>
        </w:rPr>
        <w:footnoteRef/>
      </w:r>
      <w:r w:rsidRPr="009B3223">
        <w:rPr>
          <w:rFonts w:ascii="Garamond" w:hAnsi="Garamond"/>
          <w:sz w:val="22"/>
          <w:szCs w:val="22"/>
        </w:rPr>
        <w:t xml:space="preserve"> The literal English translation of ‘</w:t>
      </w:r>
      <w:r w:rsidRPr="003874EA">
        <w:rPr>
          <w:rFonts w:ascii="Garamond" w:hAnsi="Garamond"/>
          <w:i/>
          <w:sz w:val="22"/>
          <w:szCs w:val="22"/>
        </w:rPr>
        <w:t>Lehulu</w:t>
      </w:r>
      <w:r w:rsidRPr="009B3223">
        <w:rPr>
          <w:rFonts w:ascii="Garamond" w:hAnsi="Garamond"/>
          <w:sz w:val="22"/>
          <w:szCs w:val="22"/>
        </w:rPr>
        <w:t>’ is “for every one”.</w:t>
      </w:r>
    </w:p>
  </w:footnote>
  <w:footnote w:id="21">
    <w:p w:rsidR="00337FF1" w:rsidRPr="00C904A3" w:rsidRDefault="00337FF1" w:rsidP="00DE5757">
      <w:pPr>
        <w:pStyle w:val="FootnoteText"/>
        <w:rPr>
          <w:rFonts w:ascii="Garamond" w:hAnsi="Garamond"/>
        </w:rPr>
      </w:pPr>
      <w:r w:rsidRPr="00C904A3">
        <w:rPr>
          <w:rStyle w:val="FootnoteReference"/>
          <w:rFonts w:ascii="Garamond" w:hAnsi="Garamond"/>
        </w:rPr>
        <w:footnoteRef/>
      </w:r>
      <w:r w:rsidRPr="00C904A3">
        <w:rPr>
          <w:rFonts w:ascii="Garamond" w:hAnsi="Garamond"/>
        </w:rPr>
        <w:t xml:space="preserve"> See http://www.ena.gov.et/en/index.php/economy/item/2073-gov-t-to-establish-10-billion-birr-mobile-youth-fund</w:t>
      </w:r>
    </w:p>
  </w:footnote>
  <w:footnote w:id="22">
    <w:p w:rsidR="00337FF1" w:rsidRPr="00A32524" w:rsidRDefault="00337FF1" w:rsidP="00C104F3">
      <w:pPr>
        <w:autoSpaceDE w:val="0"/>
        <w:autoSpaceDN w:val="0"/>
        <w:adjustRightInd w:val="0"/>
        <w:spacing w:after="0" w:line="240" w:lineRule="auto"/>
        <w:rPr>
          <w:rFonts w:ascii="Garamond" w:hAnsi="Garamond"/>
          <w:lang w:val="en-GB"/>
        </w:rPr>
      </w:pPr>
      <w:r w:rsidRPr="00C104F3">
        <w:rPr>
          <w:rStyle w:val="FootnoteReference"/>
          <w:rFonts w:ascii="Garamond" w:hAnsi="Garamond"/>
          <w:sz w:val="24"/>
          <w:szCs w:val="24"/>
        </w:rPr>
        <w:footnoteRef/>
      </w:r>
      <w:r w:rsidRPr="00C104F3">
        <w:rPr>
          <w:rFonts w:ascii="Garamond" w:hAnsi="Garamond"/>
          <w:sz w:val="24"/>
          <w:szCs w:val="24"/>
        </w:rPr>
        <w:t xml:space="preserve"> </w:t>
      </w:r>
      <w:r w:rsidRPr="00A32524">
        <w:rPr>
          <w:rFonts w:ascii="Garamond" w:hAnsi="Garamond"/>
        </w:rPr>
        <w:t xml:space="preserve">Federal Democratic Republic of Ethiopia (FDRE), </w:t>
      </w:r>
      <w:r w:rsidRPr="00A32524">
        <w:rPr>
          <w:rFonts w:ascii="Garamond" w:eastAsiaTheme="minorHAnsi" w:hAnsi="Garamond" w:cs="Times-Bold"/>
          <w:bCs/>
          <w:lang w:val="en-GB"/>
        </w:rPr>
        <w:t xml:space="preserve">Micro Finance Business Proclamation No.626/2009, </w:t>
      </w:r>
      <w:r w:rsidRPr="00A32524">
        <w:rPr>
          <w:rFonts w:ascii="Garamond" w:hAnsi="Garamond" w:cs="Arial"/>
          <w:shd w:val="clear" w:color="auto" w:fill="FFFFFF"/>
        </w:rPr>
        <w:t>Federal Negarit Gazeta 15</w:t>
      </w:r>
      <w:r w:rsidRPr="00A32524">
        <w:rPr>
          <w:rFonts w:ascii="Garamond" w:hAnsi="Garamond" w:cs="Arial"/>
          <w:shd w:val="clear" w:color="auto" w:fill="FFFFFF"/>
          <w:vertAlign w:val="superscript"/>
        </w:rPr>
        <w:t>th</w:t>
      </w:r>
      <w:r w:rsidRPr="00A32524">
        <w:rPr>
          <w:rFonts w:ascii="Garamond" w:hAnsi="Garamond" w:cs="Arial"/>
          <w:shd w:val="clear" w:color="auto" w:fill="FFFFFF"/>
        </w:rPr>
        <w:t xml:space="preserve"> year No.33. </w:t>
      </w:r>
    </w:p>
  </w:footnote>
  <w:footnote w:id="23">
    <w:p w:rsidR="00337FF1" w:rsidRPr="008442BA" w:rsidRDefault="00337FF1" w:rsidP="008442BA">
      <w:pPr>
        <w:spacing w:after="0" w:line="240" w:lineRule="auto"/>
        <w:jc w:val="both"/>
        <w:rPr>
          <w:rFonts w:ascii="Garamond" w:hAnsi="Garamond"/>
          <w:color w:val="000000"/>
        </w:rPr>
      </w:pPr>
      <w:r w:rsidRPr="008442BA">
        <w:rPr>
          <w:rStyle w:val="FootnoteReference"/>
          <w:rFonts w:ascii="Garamond" w:hAnsi="Garamond"/>
        </w:rPr>
        <w:footnoteRef/>
      </w:r>
      <w:r w:rsidRPr="008442BA">
        <w:rPr>
          <w:rFonts w:ascii="Garamond" w:hAnsi="Garamond"/>
        </w:rPr>
        <w:t xml:space="preserve"> Tarfassa, S., Ferede, T., Kebede, S. and B</w:t>
      </w:r>
      <w:r>
        <w:rPr>
          <w:rFonts w:ascii="Garamond" w:hAnsi="Garamond"/>
        </w:rPr>
        <w:t>eh</w:t>
      </w:r>
      <w:r w:rsidRPr="008442BA">
        <w:rPr>
          <w:rFonts w:ascii="Garamond" w:hAnsi="Garamond"/>
        </w:rPr>
        <w:t>ailu, D. (201</w:t>
      </w:r>
      <w:r>
        <w:rPr>
          <w:rFonts w:ascii="Garamond" w:hAnsi="Garamond"/>
        </w:rPr>
        <w:t>6</w:t>
      </w:r>
      <w:r w:rsidRPr="008442BA">
        <w:rPr>
          <w:rFonts w:ascii="Garamond" w:hAnsi="Garamond"/>
        </w:rPr>
        <w:t xml:space="preserve">), </w:t>
      </w:r>
      <w:r w:rsidRPr="008442BA">
        <w:rPr>
          <w:rFonts w:ascii="Garamond" w:hAnsi="Garamond"/>
          <w:color w:val="000000"/>
        </w:rPr>
        <w:t>Determinants of growth of Micro and Small Enterprises: Empirical evidence from Ethiopia</w:t>
      </w:r>
      <w:r>
        <w:rPr>
          <w:rFonts w:ascii="Garamond" w:hAnsi="Garamond"/>
          <w:color w:val="000000"/>
        </w:rPr>
        <w:t xml:space="preserve">, Research report for the Swiss Programme for Research on Global Issues, Switzerland. </w:t>
      </w:r>
    </w:p>
    <w:p w:rsidR="00337FF1" w:rsidRPr="008442BA" w:rsidRDefault="00337FF1">
      <w:pPr>
        <w:pStyle w:val="FootnoteText"/>
        <w:rPr>
          <w:lang w:val="en-GB"/>
        </w:rPr>
      </w:pPr>
    </w:p>
  </w:footnote>
  <w:footnote w:id="24">
    <w:p w:rsidR="00337FF1" w:rsidRPr="00072481" w:rsidRDefault="00337FF1" w:rsidP="00072481">
      <w:pPr>
        <w:pStyle w:val="FootnoteText"/>
        <w:jc w:val="both"/>
        <w:rPr>
          <w:rFonts w:ascii="Garamond" w:hAnsi="Garamond"/>
          <w:sz w:val="22"/>
          <w:szCs w:val="22"/>
          <w:lang w:val="en-GB"/>
        </w:rPr>
      </w:pPr>
      <w:r w:rsidRPr="00072481">
        <w:rPr>
          <w:rStyle w:val="FootnoteReference"/>
          <w:rFonts w:ascii="Garamond" w:hAnsi="Garamond"/>
          <w:sz w:val="22"/>
          <w:szCs w:val="22"/>
        </w:rPr>
        <w:footnoteRef/>
      </w:r>
      <w:r w:rsidRPr="00072481">
        <w:rPr>
          <w:rFonts w:ascii="Garamond" w:hAnsi="Garamond"/>
          <w:sz w:val="22"/>
          <w:szCs w:val="22"/>
        </w:rPr>
        <w:t xml:space="preserve"> Note the source of finance for climate relevant spending has not been indicated. But it is likely that government budget accounted for a large share of total climate relevant spending. </w:t>
      </w:r>
      <w:r>
        <w:rPr>
          <w:rFonts w:ascii="Garamond" w:hAnsi="Garamond"/>
          <w:sz w:val="22"/>
          <w:szCs w:val="22"/>
        </w:rPr>
        <w:t xml:space="preserve">According to Eshetu </w:t>
      </w:r>
      <w:r w:rsidRPr="00072481">
        <w:rPr>
          <w:rFonts w:ascii="Garamond" w:hAnsi="Garamond"/>
          <w:i/>
          <w:sz w:val="22"/>
          <w:szCs w:val="22"/>
        </w:rPr>
        <w:t>et al</w:t>
      </w:r>
      <w:r>
        <w:rPr>
          <w:rFonts w:ascii="Garamond" w:hAnsi="Garamond"/>
          <w:sz w:val="22"/>
          <w:szCs w:val="22"/>
        </w:rPr>
        <w:t xml:space="preserve"> (2014), about government budget accounted for about 80 percent of total climate relevant spending in 2011/12.  </w:t>
      </w:r>
    </w:p>
  </w:footnote>
  <w:footnote w:id="25">
    <w:p w:rsidR="00337FF1" w:rsidRPr="00263B98" w:rsidRDefault="00337FF1" w:rsidP="00C017D9">
      <w:pPr>
        <w:pStyle w:val="FootnoteText"/>
        <w:jc w:val="both"/>
        <w:rPr>
          <w:rFonts w:ascii="Garamond" w:hAnsi="Garamond"/>
        </w:rPr>
      </w:pPr>
      <w:r>
        <w:rPr>
          <w:rStyle w:val="FootnoteReference"/>
        </w:rPr>
        <w:footnoteRef/>
      </w:r>
      <w:r>
        <w:t xml:space="preserve"> </w:t>
      </w:r>
      <w:r w:rsidRPr="00263B98">
        <w:rPr>
          <w:rFonts w:ascii="Garamond" w:hAnsi="Garamond"/>
        </w:rPr>
        <w:t xml:space="preserve">The share of ODA allocated to LDCs has declined in recent years. For example, total ODA to LDCs amounted to US$ 41 billion in 2014, equivalent to 0.09 percent of donor countries’ Gross National Income (GNI), well below the UN target of allocating at least 0.15 percent of GNI to the LDCs as ODA (UNDP and AFD, 2016). </w:t>
      </w:r>
    </w:p>
  </w:footnote>
  <w:footnote w:id="26">
    <w:p w:rsidR="00337FF1" w:rsidRPr="00233613" w:rsidRDefault="00337FF1" w:rsidP="008046F4">
      <w:pPr>
        <w:pStyle w:val="FootnoteText"/>
      </w:pPr>
      <w:r>
        <w:rPr>
          <w:rStyle w:val="FootnoteReference"/>
        </w:rPr>
        <w:footnoteRef/>
      </w:r>
      <w:r w:rsidRPr="00C9026D">
        <w:rPr>
          <w:rFonts w:ascii="Garamond" w:hAnsi="Garamond"/>
          <w:sz w:val="24"/>
          <w:szCs w:val="24"/>
        </w:rPr>
        <w:t xml:space="preserve"> </w:t>
      </w:r>
      <w:r w:rsidRPr="00233613">
        <w:rPr>
          <w:rFonts w:ascii="Garamond" w:hAnsi="Garamond"/>
        </w:rPr>
        <w:t xml:space="preserve">These public enterprise include the Ethiopian Electric Power (EEP), Ethiopian Electric Utility  (EEU), Ethiopian Sugar Corporation, Ethiopian Railways Corporation, and Ethiopian Shipping Lines. </w:t>
      </w:r>
    </w:p>
  </w:footnote>
  <w:footnote w:id="27">
    <w:p w:rsidR="00337FF1" w:rsidRPr="00E56AAA" w:rsidRDefault="00337FF1" w:rsidP="00E56AAA">
      <w:pPr>
        <w:autoSpaceDE w:val="0"/>
        <w:autoSpaceDN w:val="0"/>
        <w:adjustRightInd w:val="0"/>
        <w:spacing w:after="0" w:line="240" w:lineRule="auto"/>
        <w:jc w:val="both"/>
        <w:rPr>
          <w:rFonts w:ascii="Garamond" w:hAnsi="Garamond"/>
          <w:sz w:val="20"/>
          <w:szCs w:val="20"/>
          <w:lang w:val="en-GB"/>
        </w:rPr>
      </w:pPr>
      <w:r w:rsidRPr="00E56AAA">
        <w:rPr>
          <w:rStyle w:val="FootnoteReference"/>
          <w:rFonts w:ascii="Garamond" w:hAnsi="Garamond"/>
          <w:sz w:val="20"/>
          <w:szCs w:val="20"/>
        </w:rPr>
        <w:footnoteRef/>
      </w:r>
      <w:r w:rsidRPr="00E56AAA">
        <w:rPr>
          <w:rFonts w:ascii="Garamond" w:hAnsi="Garamond"/>
          <w:sz w:val="20"/>
          <w:szCs w:val="20"/>
        </w:rPr>
        <w:t xml:space="preserve"> UN, Population Division; POP/DB/MIG/Stock/Rev. 2013</w:t>
      </w:r>
    </w:p>
  </w:footnote>
  <w:footnote w:id="28">
    <w:p w:rsidR="00337FF1" w:rsidRPr="00E56AAA" w:rsidRDefault="00337FF1" w:rsidP="00E56AAA">
      <w:pPr>
        <w:pStyle w:val="FootnoteText"/>
        <w:rPr>
          <w:rFonts w:ascii="Garamond" w:hAnsi="Garamond"/>
        </w:rPr>
      </w:pPr>
      <w:r w:rsidRPr="00E56AAA">
        <w:rPr>
          <w:rStyle w:val="FootnoteReference"/>
          <w:rFonts w:ascii="Garamond" w:hAnsi="Garamond"/>
        </w:rPr>
        <w:footnoteRef/>
      </w:r>
      <w:r w:rsidRPr="00E56AAA">
        <w:rPr>
          <w:rFonts w:ascii="Garamond" w:hAnsi="Garamond"/>
        </w:rPr>
        <w:t xml:space="preserve"> For instance, close to 46 percent of remittances were channeled through informal ways in 2008/09 (Assaminew </w:t>
      </w:r>
      <w:r w:rsidRPr="00E56AAA">
        <w:rPr>
          <w:rFonts w:ascii="Garamond" w:hAnsi="Garamond"/>
          <w:i/>
        </w:rPr>
        <w:t>et al</w:t>
      </w:r>
      <w:r w:rsidRPr="00E56AAA">
        <w:rPr>
          <w:rFonts w:ascii="Garamond" w:hAnsi="Garamond"/>
        </w:rPr>
        <w:t xml:space="preserve">., 2010).  </w:t>
      </w:r>
    </w:p>
  </w:footnote>
  <w:footnote w:id="29">
    <w:p w:rsidR="00337FF1" w:rsidRPr="00E56AAA" w:rsidRDefault="00337FF1" w:rsidP="00E56AAA">
      <w:pPr>
        <w:pStyle w:val="Default"/>
        <w:ind w:left="720" w:hanging="720"/>
        <w:rPr>
          <w:rFonts w:ascii="Garamond" w:hAnsi="Garamond"/>
          <w:sz w:val="20"/>
          <w:szCs w:val="20"/>
          <w:lang w:val="en-GB"/>
        </w:rPr>
      </w:pPr>
      <w:r w:rsidRPr="00E56AAA">
        <w:rPr>
          <w:rStyle w:val="FootnoteReference"/>
          <w:rFonts w:ascii="Garamond" w:hAnsi="Garamond"/>
          <w:sz w:val="20"/>
          <w:szCs w:val="20"/>
        </w:rPr>
        <w:footnoteRef/>
      </w:r>
      <w:r w:rsidRPr="00E56AAA">
        <w:rPr>
          <w:rFonts w:ascii="Garamond" w:hAnsi="Garamond"/>
          <w:sz w:val="20"/>
          <w:szCs w:val="20"/>
        </w:rPr>
        <w:t xml:space="preserve"> </w:t>
      </w:r>
      <w:r w:rsidRPr="00E56AAA">
        <w:rPr>
          <w:rFonts w:ascii="Garamond" w:eastAsiaTheme="minorHAnsi" w:hAnsi="Garamond" w:cstheme="minorBidi"/>
          <w:color w:val="auto"/>
          <w:sz w:val="20"/>
          <w:szCs w:val="20"/>
        </w:rPr>
        <w:t xml:space="preserve">Schmidt-Traub, G. and Sachs, D.S. (2015), The roles of public and private development finance, Issue Brief, Sustainable Development Solutions Network.  </w:t>
      </w:r>
    </w:p>
  </w:footnote>
  <w:footnote w:id="30">
    <w:p w:rsidR="00337FF1" w:rsidRPr="00313D7F" w:rsidRDefault="00337FF1" w:rsidP="00313D7F">
      <w:pPr>
        <w:jc w:val="center"/>
        <w:rPr>
          <w:rFonts w:ascii="Garamond" w:hAnsi="Garamond"/>
        </w:rPr>
      </w:pPr>
      <w:r>
        <w:rPr>
          <w:rStyle w:val="FootnoteReference"/>
        </w:rPr>
        <w:footnoteRef/>
      </w:r>
      <w:r>
        <w:t xml:space="preserve"> </w:t>
      </w:r>
      <w:r w:rsidRPr="00313D7F">
        <w:rPr>
          <w:rFonts w:ascii="Garamond" w:hAnsi="Garamond"/>
          <w:lang w:val="en-GB"/>
        </w:rPr>
        <w:t xml:space="preserve">See Ferede, T., Admassie and Nuru, S. (2015), </w:t>
      </w:r>
      <w:r w:rsidRPr="00313D7F">
        <w:rPr>
          <w:rFonts w:ascii="Garamond" w:hAnsi="Garamond"/>
        </w:rPr>
        <w:t>Migration and forced labour of workers from selected regions of Ethiopia</w:t>
      </w:r>
      <w:r>
        <w:rPr>
          <w:rFonts w:ascii="Garamond" w:hAnsi="Garamond"/>
        </w:rPr>
        <w:t xml:space="preserve">, research report prepared for ILO. </w:t>
      </w:r>
    </w:p>
    <w:p w:rsidR="00337FF1" w:rsidRPr="00FA7B28" w:rsidRDefault="00337FF1">
      <w:pPr>
        <w:pStyle w:val="FootnoteText"/>
        <w:rPr>
          <w:lang w:val="en-GB"/>
        </w:rPr>
      </w:pPr>
    </w:p>
  </w:footnote>
  <w:footnote w:id="31">
    <w:p w:rsidR="00337FF1" w:rsidRDefault="00337FF1" w:rsidP="00B31252">
      <w:pPr>
        <w:pStyle w:val="FootnoteText"/>
        <w:jc w:val="both"/>
      </w:pPr>
      <w:r>
        <w:rPr>
          <w:rStyle w:val="FootnoteReference"/>
        </w:rPr>
        <w:footnoteRef/>
      </w:r>
      <w:r>
        <w:t xml:space="preserve"> </w:t>
      </w:r>
      <w:r w:rsidRPr="00AE4022">
        <w:rPr>
          <w:rFonts w:ascii="Garamond" w:hAnsi="Garamond"/>
        </w:rPr>
        <w:t xml:space="preserve">Initial investment cost in installing tracking technologies </w:t>
      </w:r>
      <w:r>
        <w:rPr>
          <w:rFonts w:ascii="Garamond" w:hAnsi="Garamond"/>
        </w:rPr>
        <w:t xml:space="preserve">in private transporters </w:t>
      </w:r>
      <w:r w:rsidRPr="00AE4022">
        <w:rPr>
          <w:rFonts w:ascii="Garamond" w:hAnsi="Garamond"/>
        </w:rPr>
        <w:t>is high</w:t>
      </w:r>
      <w:r>
        <w:rPr>
          <w:rFonts w:ascii="Garamond" w:hAnsi="Garamond"/>
        </w:rPr>
        <w:t xml:space="preserve">, which is more than USD 2,000 per machine per car. Companies with many transport cars need to invest a large amount to install tracking technologies in each car. High upfront cost hinders the application of tracking technologies (Discussion with ERCA representative). </w:t>
      </w:r>
      <w:r>
        <w:t xml:space="preserve"> </w:t>
      </w:r>
    </w:p>
  </w:footnote>
  <w:footnote w:id="32">
    <w:p w:rsidR="00337FF1" w:rsidRPr="00DA0C30" w:rsidRDefault="00337FF1" w:rsidP="00B31252">
      <w:pPr>
        <w:rPr>
          <w:rFonts w:ascii="Garamond" w:hAnsi="Garamond"/>
        </w:rPr>
      </w:pPr>
      <w:r w:rsidRPr="00DA0C30">
        <w:rPr>
          <w:rStyle w:val="FootnoteReference"/>
          <w:rFonts w:ascii="Garamond" w:hAnsi="Garamond"/>
        </w:rPr>
        <w:footnoteRef/>
      </w:r>
      <w:r w:rsidRPr="00DA0C30">
        <w:rPr>
          <w:rFonts w:ascii="Garamond" w:hAnsi="Garamond"/>
        </w:rPr>
        <w:t xml:space="preserve"> See </w:t>
      </w:r>
      <w:hyperlink r:id="rId2" w:history="1">
        <w:r w:rsidRPr="00DA0C30">
          <w:rPr>
            <w:rStyle w:val="Hyperlink"/>
            <w:rFonts w:ascii="Garamond" w:eastAsiaTheme="majorEastAsia" w:hAnsi="Garamond"/>
          </w:rPr>
          <w:t>http://www.investethiopia.gov.et/investment-opportunities/strategic-sectors/industry-zone-development</w:t>
        </w:r>
      </w:hyperlink>
    </w:p>
    <w:p w:rsidR="00337FF1" w:rsidRDefault="00337FF1" w:rsidP="00B31252">
      <w:pPr>
        <w:pStyle w:val="FootnoteText"/>
      </w:pPr>
    </w:p>
  </w:footnote>
  <w:footnote w:id="33">
    <w:p w:rsidR="00337FF1" w:rsidRPr="001A7352" w:rsidRDefault="00337FF1" w:rsidP="001422F4">
      <w:pPr>
        <w:spacing w:after="120" w:line="240" w:lineRule="auto"/>
        <w:jc w:val="both"/>
        <w:rPr>
          <w:rFonts w:ascii="Times New Roman" w:hAnsi="Times New Roman"/>
          <w:color w:val="000000" w:themeColor="text1"/>
          <w:sz w:val="24"/>
          <w:szCs w:val="24"/>
        </w:rPr>
      </w:pPr>
      <w:r>
        <w:rPr>
          <w:rStyle w:val="FootnoteReference"/>
        </w:rPr>
        <w:footnoteRef/>
      </w:r>
      <w:r>
        <w:t xml:space="preserve"> </w:t>
      </w:r>
      <w:r w:rsidRPr="001422F4">
        <w:rPr>
          <w:rFonts w:ascii="Garamond" w:hAnsi="Garamond"/>
        </w:rPr>
        <w:t xml:space="preserve">Ethiopia has also signed </w:t>
      </w:r>
      <w:r>
        <w:rPr>
          <w:rFonts w:ascii="Garamond" w:hAnsi="Garamond"/>
        </w:rPr>
        <w:t xml:space="preserve">a free trade </w:t>
      </w:r>
      <w:r w:rsidRPr="001422F4">
        <w:rPr>
          <w:rFonts w:ascii="Garamond" w:hAnsi="Garamond"/>
        </w:rPr>
        <w:t>agreement with Sudan to foster free trade by eliminating barriers to trade and promoting free competition.</w:t>
      </w:r>
      <w:r w:rsidRPr="001A7352">
        <w:rPr>
          <w:rFonts w:ascii="Times New Roman" w:hAnsi="Times New Roman"/>
          <w:sz w:val="24"/>
          <w:szCs w:val="24"/>
        </w:rPr>
        <w:t xml:space="preserve"> </w:t>
      </w:r>
    </w:p>
    <w:p w:rsidR="00337FF1" w:rsidRPr="001422F4" w:rsidRDefault="00337FF1">
      <w:pPr>
        <w:pStyle w:val="FootnoteText"/>
        <w:rPr>
          <w:lang w:val="en-GB"/>
        </w:rPr>
      </w:pPr>
    </w:p>
  </w:footnote>
  <w:footnote w:id="34">
    <w:p w:rsidR="00337FF1" w:rsidRPr="0051025F" w:rsidRDefault="00337FF1">
      <w:pPr>
        <w:pStyle w:val="FootnoteText"/>
        <w:rPr>
          <w:rFonts w:ascii="Garamond" w:hAnsi="Garamond"/>
        </w:rPr>
      </w:pPr>
      <w:r>
        <w:rPr>
          <w:rStyle w:val="FootnoteReference"/>
        </w:rPr>
        <w:footnoteRef/>
      </w:r>
      <w:r>
        <w:t xml:space="preserve"> </w:t>
      </w:r>
      <w:r w:rsidRPr="0051025F">
        <w:rPr>
          <w:rFonts w:ascii="Garamond" w:hAnsi="Garamond"/>
        </w:rPr>
        <w:t>See World Bank (2015)</w:t>
      </w:r>
      <w:r>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634"/>
    <w:multiLevelType w:val="hybridMultilevel"/>
    <w:tmpl w:val="AB50C786"/>
    <w:lvl w:ilvl="0" w:tplc="24380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20D19"/>
    <w:multiLevelType w:val="hybridMultilevel"/>
    <w:tmpl w:val="6EBA4F56"/>
    <w:lvl w:ilvl="0" w:tplc="24F2CA80">
      <w:start w:val="1"/>
      <w:numFmt w:val="bullet"/>
      <w:lvlText w:val=""/>
      <w:lvlJc w:val="left"/>
      <w:pPr>
        <w:tabs>
          <w:tab w:val="num" w:pos="720"/>
        </w:tabs>
        <w:ind w:left="720" w:hanging="360"/>
      </w:pPr>
      <w:rPr>
        <w:rFonts w:ascii="Wingdings" w:hAnsi="Wingdings" w:hint="default"/>
      </w:rPr>
    </w:lvl>
    <w:lvl w:ilvl="1" w:tplc="1CA08444">
      <w:start w:val="22"/>
      <w:numFmt w:val="bullet"/>
      <w:lvlText w:val=""/>
      <w:lvlJc w:val="left"/>
      <w:pPr>
        <w:tabs>
          <w:tab w:val="num" w:pos="1440"/>
        </w:tabs>
        <w:ind w:left="1440" w:hanging="360"/>
      </w:pPr>
      <w:rPr>
        <w:rFonts w:ascii="Wingdings" w:hAnsi="Wingdings" w:hint="default"/>
      </w:rPr>
    </w:lvl>
    <w:lvl w:ilvl="2" w:tplc="A00C9B9A" w:tentative="1">
      <w:start w:val="1"/>
      <w:numFmt w:val="bullet"/>
      <w:lvlText w:val=""/>
      <w:lvlJc w:val="left"/>
      <w:pPr>
        <w:tabs>
          <w:tab w:val="num" w:pos="2160"/>
        </w:tabs>
        <w:ind w:left="2160" w:hanging="360"/>
      </w:pPr>
      <w:rPr>
        <w:rFonts w:ascii="Wingdings" w:hAnsi="Wingdings" w:hint="default"/>
      </w:rPr>
    </w:lvl>
    <w:lvl w:ilvl="3" w:tplc="FA2E449A" w:tentative="1">
      <w:start w:val="1"/>
      <w:numFmt w:val="bullet"/>
      <w:lvlText w:val=""/>
      <w:lvlJc w:val="left"/>
      <w:pPr>
        <w:tabs>
          <w:tab w:val="num" w:pos="2880"/>
        </w:tabs>
        <w:ind w:left="2880" w:hanging="360"/>
      </w:pPr>
      <w:rPr>
        <w:rFonts w:ascii="Wingdings" w:hAnsi="Wingdings" w:hint="default"/>
      </w:rPr>
    </w:lvl>
    <w:lvl w:ilvl="4" w:tplc="47F02D58" w:tentative="1">
      <w:start w:val="1"/>
      <w:numFmt w:val="bullet"/>
      <w:lvlText w:val=""/>
      <w:lvlJc w:val="left"/>
      <w:pPr>
        <w:tabs>
          <w:tab w:val="num" w:pos="3600"/>
        </w:tabs>
        <w:ind w:left="3600" w:hanging="360"/>
      </w:pPr>
      <w:rPr>
        <w:rFonts w:ascii="Wingdings" w:hAnsi="Wingdings" w:hint="default"/>
      </w:rPr>
    </w:lvl>
    <w:lvl w:ilvl="5" w:tplc="CED8AF84" w:tentative="1">
      <w:start w:val="1"/>
      <w:numFmt w:val="bullet"/>
      <w:lvlText w:val=""/>
      <w:lvlJc w:val="left"/>
      <w:pPr>
        <w:tabs>
          <w:tab w:val="num" w:pos="4320"/>
        </w:tabs>
        <w:ind w:left="4320" w:hanging="360"/>
      </w:pPr>
      <w:rPr>
        <w:rFonts w:ascii="Wingdings" w:hAnsi="Wingdings" w:hint="default"/>
      </w:rPr>
    </w:lvl>
    <w:lvl w:ilvl="6" w:tplc="F30A5308" w:tentative="1">
      <w:start w:val="1"/>
      <w:numFmt w:val="bullet"/>
      <w:lvlText w:val=""/>
      <w:lvlJc w:val="left"/>
      <w:pPr>
        <w:tabs>
          <w:tab w:val="num" w:pos="5040"/>
        </w:tabs>
        <w:ind w:left="5040" w:hanging="360"/>
      </w:pPr>
      <w:rPr>
        <w:rFonts w:ascii="Wingdings" w:hAnsi="Wingdings" w:hint="default"/>
      </w:rPr>
    </w:lvl>
    <w:lvl w:ilvl="7" w:tplc="DBD2855A" w:tentative="1">
      <w:start w:val="1"/>
      <w:numFmt w:val="bullet"/>
      <w:lvlText w:val=""/>
      <w:lvlJc w:val="left"/>
      <w:pPr>
        <w:tabs>
          <w:tab w:val="num" w:pos="5760"/>
        </w:tabs>
        <w:ind w:left="5760" w:hanging="360"/>
      </w:pPr>
      <w:rPr>
        <w:rFonts w:ascii="Wingdings" w:hAnsi="Wingdings" w:hint="default"/>
      </w:rPr>
    </w:lvl>
    <w:lvl w:ilvl="8" w:tplc="71EAA9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B4E3B"/>
    <w:multiLevelType w:val="hybridMultilevel"/>
    <w:tmpl w:val="14A42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E306D"/>
    <w:multiLevelType w:val="hybridMultilevel"/>
    <w:tmpl w:val="66D0D944"/>
    <w:lvl w:ilvl="0" w:tplc="3FF87942">
      <w:start w:val="1"/>
      <w:numFmt w:val="lowerLetter"/>
      <w:lvlText w:val="%1."/>
      <w:lvlJc w:val="left"/>
      <w:pPr>
        <w:ind w:left="630" w:hanging="360"/>
      </w:pPr>
      <w:rPr>
        <w:rFonts w:cs="Arial" w:hint="default"/>
        <w:b/>
        <w:color w:val="33333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42E4AF7"/>
    <w:multiLevelType w:val="hybridMultilevel"/>
    <w:tmpl w:val="58D68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7CEF"/>
    <w:multiLevelType w:val="hybridMultilevel"/>
    <w:tmpl w:val="906E4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6F63"/>
    <w:multiLevelType w:val="hybridMultilevel"/>
    <w:tmpl w:val="00FC1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B2A0A"/>
    <w:multiLevelType w:val="hybridMultilevel"/>
    <w:tmpl w:val="098A63A6"/>
    <w:lvl w:ilvl="0" w:tplc="04090005">
      <w:start w:val="1"/>
      <w:numFmt w:val="bullet"/>
      <w:lvlText w:val=""/>
      <w:lvlJc w:val="left"/>
      <w:pPr>
        <w:tabs>
          <w:tab w:val="num" w:pos="720"/>
        </w:tabs>
        <w:ind w:left="720" w:hanging="360"/>
      </w:pPr>
      <w:rPr>
        <w:rFonts w:ascii="Wingdings" w:hAnsi="Wingdings" w:hint="default"/>
      </w:rPr>
    </w:lvl>
    <w:lvl w:ilvl="1" w:tplc="DE447F2C">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97901428" w:tentative="1">
      <w:start w:val="1"/>
      <w:numFmt w:val="bullet"/>
      <w:lvlText w:val=""/>
      <w:lvlJc w:val="left"/>
      <w:pPr>
        <w:tabs>
          <w:tab w:val="num" w:pos="2880"/>
        </w:tabs>
        <w:ind w:left="2880" w:hanging="360"/>
      </w:pPr>
      <w:rPr>
        <w:rFonts w:ascii="Wingdings" w:hAnsi="Wingdings" w:hint="default"/>
      </w:rPr>
    </w:lvl>
    <w:lvl w:ilvl="4" w:tplc="B8F04340" w:tentative="1">
      <w:start w:val="1"/>
      <w:numFmt w:val="bullet"/>
      <w:lvlText w:val=""/>
      <w:lvlJc w:val="left"/>
      <w:pPr>
        <w:tabs>
          <w:tab w:val="num" w:pos="3600"/>
        </w:tabs>
        <w:ind w:left="3600" w:hanging="360"/>
      </w:pPr>
      <w:rPr>
        <w:rFonts w:ascii="Wingdings" w:hAnsi="Wingdings" w:hint="default"/>
      </w:rPr>
    </w:lvl>
    <w:lvl w:ilvl="5" w:tplc="3B7C6812" w:tentative="1">
      <w:start w:val="1"/>
      <w:numFmt w:val="bullet"/>
      <w:lvlText w:val=""/>
      <w:lvlJc w:val="left"/>
      <w:pPr>
        <w:tabs>
          <w:tab w:val="num" w:pos="4320"/>
        </w:tabs>
        <w:ind w:left="4320" w:hanging="360"/>
      </w:pPr>
      <w:rPr>
        <w:rFonts w:ascii="Wingdings" w:hAnsi="Wingdings" w:hint="default"/>
      </w:rPr>
    </w:lvl>
    <w:lvl w:ilvl="6" w:tplc="CFE8AABA" w:tentative="1">
      <w:start w:val="1"/>
      <w:numFmt w:val="bullet"/>
      <w:lvlText w:val=""/>
      <w:lvlJc w:val="left"/>
      <w:pPr>
        <w:tabs>
          <w:tab w:val="num" w:pos="5040"/>
        </w:tabs>
        <w:ind w:left="5040" w:hanging="360"/>
      </w:pPr>
      <w:rPr>
        <w:rFonts w:ascii="Wingdings" w:hAnsi="Wingdings" w:hint="default"/>
      </w:rPr>
    </w:lvl>
    <w:lvl w:ilvl="7" w:tplc="532C3596" w:tentative="1">
      <w:start w:val="1"/>
      <w:numFmt w:val="bullet"/>
      <w:lvlText w:val=""/>
      <w:lvlJc w:val="left"/>
      <w:pPr>
        <w:tabs>
          <w:tab w:val="num" w:pos="5760"/>
        </w:tabs>
        <w:ind w:left="5760" w:hanging="360"/>
      </w:pPr>
      <w:rPr>
        <w:rFonts w:ascii="Wingdings" w:hAnsi="Wingdings" w:hint="default"/>
      </w:rPr>
    </w:lvl>
    <w:lvl w:ilvl="8" w:tplc="21C4AC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E1CF9"/>
    <w:multiLevelType w:val="hybridMultilevel"/>
    <w:tmpl w:val="2376C280"/>
    <w:lvl w:ilvl="0" w:tplc="0276AE9E">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97FF8"/>
    <w:multiLevelType w:val="hybridMultilevel"/>
    <w:tmpl w:val="59963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C3510"/>
    <w:multiLevelType w:val="hybridMultilevel"/>
    <w:tmpl w:val="7EE81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25303"/>
    <w:multiLevelType w:val="hybridMultilevel"/>
    <w:tmpl w:val="E354C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82494"/>
    <w:multiLevelType w:val="hybridMultilevel"/>
    <w:tmpl w:val="D6122164"/>
    <w:lvl w:ilvl="0" w:tplc="57EA2FAA">
      <w:start w:val="1"/>
      <w:numFmt w:val="decimal"/>
      <w:lvlText w:val="%1."/>
      <w:lvlJc w:val="left"/>
      <w:pPr>
        <w:ind w:left="720" w:hanging="360"/>
      </w:pPr>
      <w:rPr>
        <w:rFonts w:cs="Arial"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A574E1"/>
    <w:multiLevelType w:val="hybridMultilevel"/>
    <w:tmpl w:val="355A1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A5633"/>
    <w:multiLevelType w:val="hybridMultilevel"/>
    <w:tmpl w:val="E47AAD9E"/>
    <w:lvl w:ilvl="0" w:tplc="5F14DDF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E295F"/>
    <w:multiLevelType w:val="hybridMultilevel"/>
    <w:tmpl w:val="32D69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A0416"/>
    <w:multiLevelType w:val="hybridMultilevel"/>
    <w:tmpl w:val="8D8A862C"/>
    <w:lvl w:ilvl="0" w:tplc="0409000F">
      <w:start w:val="1"/>
      <w:numFmt w:val="decimal"/>
      <w:lvlText w:val="%1."/>
      <w:lvlJc w:val="left"/>
      <w:pPr>
        <w:ind w:left="360" w:hanging="360"/>
      </w:pPr>
    </w:lvl>
    <w:lvl w:ilvl="1" w:tplc="04090019" w:tentative="1">
      <w:start w:val="1"/>
      <w:numFmt w:val="lowerLetter"/>
      <w:lvlText w:val="%2."/>
      <w:lvlJc w:val="left"/>
      <w:pPr>
        <w:ind w:left="270" w:hanging="360"/>
      </w:pPr>
      <w:rPr>
        <w:rFonts w:cs="Times New Roman"/>
      </w:rPr>
    </w:lvl>
    <w:lvl w:ilvl="2" w:tplc="0409001B" w:tentative="1">
      <w:start w:val="1"/>
      <w:numFmt w:val="lowerRoman"/>
      <w:lvlText w:val="%3."/>
      <w:lvlJc w:val="right"/>
      <w:pPr>
        <w:ind w:left="990" w:hanging="180"/>
      </w:pPr>
      <w:rPr>
        <w:rFonts w:cs="Times New Roman"/>
      </w:rPr>
    </w:lvl>
    <w:lvl w:ilvl="3" w:tplc="0409000F" w:tentative="1">
      <w:start w:val="1"/>
      <w:numFmt w:val="decimal"/>
      <w:lvlText w:val="%4."/>
      <w:lvlJc w:val="left"/>
      <w:pPr>
        <w:ind w:left="1710" w:hanging="360"/>
      </w:pPr>
      <w:rPr>
        <w:rFonts w:cs="Times New Roman"/>
      </w:rPr>
    </w:lvl>
    <w:lvl w:ilvl="4" w:tplc="04090019" w:tentative="1">
      <w:start w:val="1"/>
      <w:numFmt w:val="lowerLetter"/>
      <w:lvlText w:val="%5."/>
      <w:lvlJc w:val="left"/>
      <w:pPr>
        <w:ind w:left="2430" w:hanging="360"/>
      </w:pPr>
      <w:rPr>
        <w:rFonts w:cs="Times New Roman"/>
      </w:rPr>
    </w:lvl>
    <w:lvl w:ilvl="5" w:tplc="0409001B" w:tentative="1">
      <w:start w:val="1"/>
      <w:numFmt w:val="lowerRoman"/>
      <w:lvlText w:val="%6."/>
      <w:lvlJc w:val="right"/>
      <w:pPr>
        <w:ind w:left="3150" w:hanging="180"/>
      </w:pPr>
      <w:rPr>
        <w:rFonts w:cs="Times New Roman"/>
      </w:rPr>
    </w:lvl>
    <w:lvl w:ilvl="6" w:tplc="0409000F" w:tentative="1">
      <w:start w:val="1"/>
      <w:numFmt w:val="decimal"/>
      <w:lvlText w:val="%7."/>
      <w:lvlJc w:val="left"/>
      <w:pPr>
        <w:ind w:left="3870" w:hanging="360"/>
      </w:pPr>
      <w:rPr>
        <w:rFonts w:cs="Times New Roman"/>
      </w:rPr>
    </w:lvl>
    <w:lvl w:ilvl="7" w:tplc="04090019" w:tentative="1">
      <w:start w:val="1"/>
      <w:numFmt w:val="lowerLetter"/>
      <w:lvlText w:val="%8."/>
      <w:lvlJc w:val="left"/>
      <w:pPr>
        <w:ind w:left="4590" w:hanging="360"/>
      </w:pPr>
      <w:rPr>
        <w:rFonts w:cs="Times New Roman"/>
      </w:rPr>
    </w:lvl>
    <w:lvl w:ilvl="8" w:tplc="0409001B" w:tentative="1">
      <w:start w:val="1"/>
      <w:numFmt w:val="lowerRoman"/>
      <w:lvlText w:val="%9."/>
      <w:lvlJc w:val="right"/>
      <w:pPr>
        <w:ind w:left="5310" w:hanging="180"/>
      </w:pPr>
      <w:rPr>
        <w:rFonts w:cs="Times New Roman"/>
      </w:rPr>
    </w:lvl>
  </w:abstractNum>
  <w:abstractNum w:abstractNumId="17" w15:restartNumberingAfterBreak="0">
    <w:nsid w:val="2B186785"/>
    <w:multiLevelType w:val="hybridMultilevel"/>
    <w:tmpl w:val="C0E20FD4"/>
    <w:lvl w:ilvl="0" w:tplc="588675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FB2F8D"/>
    <w:multiLevelType w:val="singleLevel"/>
    <w:tmpl w:val="04090009"/>
    <w:lvl w:ilvl="0">
      <w:start w:val="1"/>
      <w:numFmt w:val="bullet"/>
      <w:lvlText w:val=""/>
      <w:lvlJc w:val="left"/>
      <w:pPr>
        <w:ind w:left="360" w:hanging="360"/>
      </w:pPr>
      <w:rPr>
        <w:rFonts w:ascii="Wingdings" w:hAnsi="Wingdings" w:hint="default"/>
      </w:rPr>
    </w:lvl>
  </w:abstractNum>
  <w:abstractNum w:abstractNumId="19" w15:restartNumberingAfterBreak="0">
    <w:nsid w:val="2EC62340"/>
    <w:multiLevelType w:val="hybridMultilevel"/>
    <w:tmpl w:val="FDA42B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A6DFF"/>
    <w:multiLevelType w:val="hybridMultilevel"/>
    <w:tmpl w:val="93720EDA"/>
    <w:lvl w:ilvl="0" w:tplc="F9BC5DFA">
      <w:start w:val="1"/>
      <w:numFmt w:val="lowerLetter"/>
      <w:lvlText w:val="%1."/>
      <w:lvlJc w:val="left"/>
      <w:pPr>
        <w:ind w:left="360" w:hanging="360"/>
      </w:pPr>
      <w:rPr>
        <w:rFonts w:cs="Arial" w:hint="default"/>
        <w:b/>
        <w:color w:val="33333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E90B1C"/>
    <w:multiLevelType w:val="hybridMultilevel"/>
    <w:tmpl w:val="06064C80"/>
    <w:lvl w:ilvl="0" w:tplc="D7B83582">
      <w:start w:val="1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132CDE"/>
    <w:multiLevelType w:val="hybridMultilevel"/>
    <w:tmpl w:val="08B8C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705DB"/>
    <w:multiLevelType w:val="hybridMultilevel"/>
    <w:tmpl w:val="266C792E"/>
    <w:lvl w:ilvl="0" w:tplc="17987C3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B9205B"/>
    <w:multiLevelType w:val="hybridMultilevel"/>
    <w:tmpl w:val="0DC0EF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83093"/>
    <w:multiLevelType w:val="hybridMultilevel"/>
    <w:tmpl w:val="5546F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500A9"/>
    <w:multiLevelType w:val="hybridMultilevel"/>
    <w:tmpl w:val="0E7AA9F8"/>
    <w:lvl w:ilvl="0" w:tplc="93B86A0E">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3FF6321"/>
    <w:multiLevelType w:val="hybridMultilevel"/>
    <w:tmpl w:val="4F76C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2017C"/>
    <w:multiLevelType w:val="hybridMultilevel"/>
    <w:tmpl w:val="66D0D944"/>
    <w:lvl w:ilvl="0" w:tplc="3FF87942">
      <w:start w:val="1"/>
      <w:numFmt w:val="lowerLetter"/>
      <w:lvlText w:val="%1."/>
      <w:lvlJc w:val="left"/>
      <w:pPr>
        <w:ind w:left="630" w:hanging="360"/>
      </w:pPr>
      <w:rPr>
        <w:rFonts w:cs="Arial" w:hint="default"/>
        <w:b/>
        <w:color w:val="33333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8220D77"/>
    <w:multiLevelType w:val="hybridMultilevel"/>
    <w:tmpl w:val="59C43F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214C75"/>
    <w:multiLevelType w:val="hybridMultilevel"/>
    <w:tmpl w:val="89ECC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A5626"/>
    <w:multiLevelType w:val="hybridMultilevel"/>
    <w:tmpl w:val="7352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8F5D20"/>
    <w:multiLevelType w:val="hybridMultilevel"/>
    <w:tmpl w:val="A7F01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03372"/>
    <w:multiLevelType w:val="hybridMultilevel"/>
    <w:tmpl w:val="9CAABDE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A826B6"/>
    <w:multiLevelType w:val="multilevel"/>
    <w:tmpl w:val="21CC05AC"/>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5" w15:restartNumberingAfterBreak="0">
    <w:nsid w:val="62287169"/>
    <w:multiLevelType w:val="hybridMultilevel"/>
    <w:tmpl w:val="255E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B03AFE"/>
    <w:multiLevelType w:val="hybridMultilevel"/>
    <w:tmpl w:val="CE789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334DD"/>
    <w:multiLevelType w:val="hybridMultilevel"/>
    <w:tmpl w:val="C6403AA0"/>
    <w:lvl w:ilvl="0" w:tplc="EB9C572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534AA"/>
    <w:multiLevelType w:val="hybridMultilevel"/>
    <w:tmpl w:val="25883384"/>
    <w:lvl w:ilvl="0" w:tplc="B76ACD32">
      <w:start w:val="1"/>
      <w:numFmt w:val="bullet"/>
      <w:lvlText w:val=""/>
      <w:lvlJc w:val="left"/>
      <w:pPr>
        <w:tabs>
          <w:tab w:val="num" w:pos="720"/>
        </w:tabs>
        <w:ind w:left="720" w:hanging="360"/>
      </w:pPr>
      <w:rPr>
        <w:rFonts w:ascii="Wingdings" w:hAnsi="Wingdings" w:hint="default"/>
      </w:rPr>
    </w:lvl>
    <w:lvl w:ilvl="1" w:tplc="A44A40CA" w:tentative="1">
      <w:start w:val="1"/>
      <w:numFmt w:val="bullet"/>
      <w:lvlText w:val=""/>
      <w:lvlJc w:val="left"/>
      <w:pPr>
        <w:tabs>
          <w:tab w:val="num" w:pos="1440"/>
        </w:tabs>
        <w:ind w:left="1440" w:hanging="360"/>
      </w:pPr>
      <w:rPr>
        <w:rFonts w:ascii="Wingdings" w:hAnsi="Wingdings" w:hint="default"/>
      </w:rPr>
    </w:lvl>
    <w:lvl w:ilvl="2" w:tplc="EECED406" w:tentative="1">
      <w:start w:val="1"/>
      <w:numFmt w:val="bullet"/>
      <w:lvlText w:val=""/>
      <w:lvlJc w:val="left"/>
      <w:pPr>
        <w:tabs>
          <w:tab w:val="num" w:pos="2160"/>
        </w:tabs>
        <w:ind w:left="2160" w:hanging="360"/>
      </w:pPr>
      <w:rPr>
        <w:rFonts w:ascii="Wingdings" w:hAnsi="Wingdings" w:hint="default"/>
      </w:rPr>
    </w:lvl>
    <w:lvl w:ilvl="3" w:tplc="8C1A27A0" w:tentative="1">
      <w:start w:val="1"/>
      <w:numFmt w:val="bullet"/>
      <w:lvlText w:val=""/>
      <w:lvlJc w:val="left"/>
      <w:pPr>
        <w:tabs>
          <w:tab w:val="num" w:pos="2880"/>
        </w:tabs>
        <w:ind w:left="2880" w:hanging="360"/>
      </w:pPr>
      <w:rPr>
        <w:rFonts w:ascii="Wingdings" w:hAnsi="Wingdings" w:hint="default"/>
      </w:rPr>
    </w:lvl>
    <w:lvl w:ilvl="4" w:tplc="AD4CEEB6" w:tentative="1">
      <w:start w:val="1"/>
      <w:numFmt w:val="bullet"/>
      <w:lvlText w:val=""/>
      <w:lvlJc w:val="left"/>
      <w:pPr>
        <w:tabs>
          <w:tab w:val="num" w:pos="3600"/>
        </w:tabs>
        <w:ind w:left="3600" w:hanging="360"/>
      </w:pPr>
      <w:rPr>
        <w:rFonts w:ascii="Wingdings" w:hAnsi="Wingdings" w:hint="default"/>
      </w:rPr>
    </w:lvl>
    <w:lvl w:ilvl="5" w:tplc="3E5EE782" w:tentative="1">
      <w:start w:val="1"/>
      <w:numFmt w:val="bullet"/>
      <w:lvlText w:val=""/>
      <w:lvlJc w:val="left"/>
      <w:pPr>
        <w:tabs>
          <w:tab w:val="num" w:pos="4320"/>
        </w:tabs>
        <w:ind w:left="4320" w:hanging="360"/>
      </w:pPr>
      <w:rPr>
        <w:rFonts w:ascii="Wingdings" w:hAnsi="Wingdings" w:hint="default"/>
      </w:rPr>
    </w:lvl>
    <w:lvl w:ilvl="6" w:tplc="048CE506" w:tentative="1">
      <w:start w:val="1"/>
      <w:numFmt w:val="bullet"/>
      <w:lvlText w:val=""/>
      <w:lvlJc w:val="left"/>
      <w:pPr>
        <w:tabs>
          <w:tab w:val="num" w:pos="5040"/>
        </w:tabs>
        <w:ind w:left="5040" w:hanging="360"/>
      </w:pPr>
      <w:rPr>
        <w:rFonts w:ascii="Wingdings" w:hAnsi="Wingdings" w:hint="default"/>
      </w:rPr>
    </w:lvl>
    <w:lvl w:ilvl="7" w:tplc="9B825BBC" w:tentative="1">
      <w:start w:val="1"/>
      <w:numFmt w:val="bullet"/>
      <w:lvlText w:val=""/>
      <w:lvlJc w:val="left"/>
      <w:pPr>
        <w:tabs>
          <w:tab w:val="num" w:pos="5760"/>
        </w:tabs>
        <w:ind w:left="5760" w:hanging="360"/>
      </w:pPr>
      <w:rPr>
        <w:rFonts w:ascii="Wingdings" w:hAnsi="Wingdings" w:hint="default"/>
      </w:rPr>
    </w:lvl>
    <w:lvl w:ilvl="8" w:tplc="8E9A0B1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B71FE2"/>
    <w:multiLevelType w:val="hybridMultilevel"/>
    <w:tmpl w:val="E11C8AA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75F4111"/>
    <w:multiLevelType w:val="hybridMultilevel"/>
    <w:tmpl w:val="71BA82A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F954BF"/>
    <w:multiLevelType w:val="hybridMultilevel"/>
    <w:tmpl w:val="3CF03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F2373"/>
    <w:multiLevelType w:val="hybridMultilevel"/>
    <w:tmpl w:val="307C5F9C"/>
    <w:lvl w:ilvl="0" w:tplc="E2C6713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4"/>
  </w:num>
  <w:num w:numId="4">
    <w:abstractNumId w:val="15"/>
  </w:num>
  <w:num w:numId="5">
    <w:abstractNumId w:val="36"/>
  </w:num>
  <w:num w:numId="6">
    <w:abstractNumId w:val="1"/>
  </w:num>
  <w:num w:numId="7">
    <w:abstractNumId w:val="22"/>
  </w:num>
  <w:num w:numId="8">
    <w:abstractNumId w:val="10"/>
  </w:num>
  <w:num w:numId="9">
    <w:abstractNumId w:val="27"/>
  </w:num>
  <w:num w:numId="10">
    <w:abstractNumId w:val="24"/>
  </w:num>
  <w:num w:numId="11">
    <w:abstractNumId w:val="13"/>
  </w:num>
  <w:num w:numId="12">
    <w:abstractNumId w:val="4"/>
  </w:num>
  <w:num w:numId="13">
    <w:abstractNumId w:val="14"/>
  </w:num>
  <w:num w:numId="14">
    <w:abstractNumId w:val="6"/>
  </w:num>
  <w:num w:numId="15">
    <w:abstractNumId w:val="25"/>
  </w:num>
  <w:num w:numId="16">
    <w:abstractNumId w:val="9"/>
  </w:num>
  <w:num w:numId="17">
    <w:abstractNumId w:val="19"/>
  </w:num>
  <w:num w:numId="18">
    <w:abstractNumId w:val="0"/>
  </w:num>
  <w:num w:numId="19">
    <w:abstractNumId w:val="41"/>
  </w:num>
  <w:num w:numId="20">
    <w:abstractNumId w:val="32"/>
  </w:num>
  <w:num w:numId="21">
    <w:abstractNumId w:val="11"/>
  </w:num>
  <w:num w:numId="22">
    <w:abstractNumId w:val="2"/>
  </w:num>
  <w:num w:numId="23">
    <w:abstractNumId w:val="3"/>
  </w:num>
  <w:num w:numId="24">
    <w:abstractNumId w:val="39"/>
  </w:num>
  <w:num w:numId="25">
    <w:abstractNumId w:val="21"/>
  </w:num>
  <w:num w:numId="26">
    <w:abstractNumId w:val="38"/>
  </w:num>
  <w:num w:numId="27">
    <w:abstractNumId w:val="30"/>
  </w:num>
  <w:num w:numId="28">
    <w:abstractNumId w:val="16"/>
  </w:num>
  <w:num w:numId="29">
    <w:abstractNumId w:val="37"/>
  </w:num>
  <w:num w:numId="30">
    <w:abstractNumId w:val="26"/>
  </w:num>
  <w:num w:numId="31">
    <w:abstractNumId w:val="31"/>
  </w:num>
  <w:num w:numId="32">
    <w:abstractNumId w:val="18"/>
  </w:num>
  <w:num w:numId="33">
    <w:abstractNumId w:val="8"/>
  </w:num>
  <w:num w:numId="34">
    <w:abstractNumId w:val="35"/>
  </w:num>
  <w:num w:numId="35">
    <w:abstractNumId w:val="33"/>
  </w:num>
  <w:num w:numId="36">
    <w:abstractNumId w:val="40"/>
  </w:num>
  <w:num w:numId="37">
    <w:abstractNumId w:val="17"/>
  </w:num>
  <w:num w:numId="38">
    <w:abstractNumId w:val="23"/>
  </w:num>
  <w:num w:numId="39">
    <w:abstractNumId w:val="28"/>
  </w:num>
  <w:num w:numId="40">
    <w:abstractNumId w:val="12"/>
  </w:num>
  <w:num w:numId="41">
    <w:abstractNumId w:val="20"/>
  </w:num>
  <w:num w:numId="42">
    <w:abstractNumId w:val="42"/>
  </w:num>
  <w:num w:numId="4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20"/>
    <w:rsid w:val="00000049"/>
    <w:rsid w:val="00000B10"/>
    <w:rsid w:val="00001787"/>
    <w:rsid w:val="00001AD8"/>
    <w:rsid w:val="00001BBB"/>
    <w:rsid w:val="00001FB8"/>
    <w:rsid w:val="00003B6C"/>
    <w:rsid w:val="00003FD1"/>
    <w:rsid w:val="000051A1"/>
    <w:rsid w:val="000051C9"/>
    <w:rsid w:val="00006082"/>
    <w:rsid w:val="00007431"/>
    <w:rsid w:val="00010196"/>
    <w:rsid w:val="00010741"/>
    <w:rsid w:val="00010EBA"/>
    <w:rsid w:val="0001155E"/>
    <w:rsid w:val="0001163B"/>
    <w:rsid w:val="0001238E"/>
    <w:rsid w:val="000146CD"/>
    <w:rsid w:val="0001559C"/>
    <w:rsid w:val="00015873"/>
    <w:rsid w:val="000176DD"/>
    <w:rsid w:val="00020146"/>
    <w:rsid w:val="00021113"/>
    <w:rsid w:val="00021986"/>
    <w:rsid w:val="00022078"/>
    <w:rsid w:val="0002430D"/>
    <w:rsid w:val="00025E71"/>
    <w:rsid w:val="000262E2"/>
    <w:rsid w:val="0002683F"/>
    <w:rsid w:val="00026A96"/>
    <w:rsid w:val="00026CF0"/>
    <w:rsid w:val="00027407"/>
    <w:rsid w:val="00027A9A"/>
    <w:rsid w:val="00027F25"/>
    <w:rsid w:val="0003034B"/>
    <w:rsid w:val="000306A9"/>
    <w:rsid w:val="00031C8A"/>
    <w:rsid w:val="00032EDE"/>
    <w:rsid w:val="00033B3A"/>
    <w:rsid w:val="00033D63"/>
    <w:rsid w:val="00034967"/>
    <w:rsid w:val="0003575D"/>
    <w:rsid w:val="00035787"/>
    <w:rsid w:val="00036B8B"/>
    <w:rsid w:val="00037845"/>
    <w:rsid w:val="00037AEC"/>
    <w:rsid w:val="000407B2"/>
    <w:rsid w:val="00045341"/>
    <w:rsid w:val="00046123"/>
    <w:rsid w:val="000468A3"/>
    <w:rsid w:val="00046B79"/>
    <w:rsid w:val="0004704A"/>
    <w:rsid w:val="00047051"/>
    <w:rsid w:val="0004743D"/>
    <w:rsid w:val="00047595"/>
    <w:rsid w:val="00047F08"/>
    <w:rsid w:val="00050EAF"/>
    <w:rsid w:val="00050F76"/>
    <w:rsid w:val="000510B3"/>
    <w:rsid w:val="00051E88"/>
    <w:rsid w:val="00051FC4"/>
    <w:rsid w:val="000527EB"/>
    <w:rsid w:val="00052881"/>
    <w:rsid w:val="0005292B"/>
    <w:rsid w:val="00055AB5"/>
    <w:rsid w:val="00056611"/>
    <w:rsid w:val="0005695F"/>
    <w:rsid w:val="00057B60"/>
    <w:rsid w:val="00062D23"/>
    <w:rsid w:val="000640D4"/>
    <w:rsid w:val="0006416E"/>
    <w:rsid w:val="000649D7"/>
    <w:rsid w:val="0006603C"/>
    <w:rsid w:val="00066093"/>
    <w:rsid w:val="00070546"/>
    <w:rsid w:val="00070BBE"/>
    <w:rsid w:val="00070EDE"/>
    <w:rsid w:val="00072481"/>
    <w:rsid w:val="00072BA5"/>
    <w:rsid w:val="00073103"/>
    <w:rsid w:val="00073666"/>
    <w:rsid w:val="00073887"/>
    <w:rsid w:val="00075053"/>
    <w:rsid w:val="00075FD8"/>
    <w:rsid w:val="00075FDF"/>
    <w:rsid w:val="000764DB"/>
    <w:rsid w:val="000766E0"/>
    <w:rsid w:val="00077ED4"/>
    <w:rsid w:val="00080465"/>
    <w:rsid w:val="00080798"/>
    <w:rsid w:val="00081DA2"/>
    <w:rsid w:val="000827B3"/>
    <w:rsid w:val="00083DAB"/>
    <w:rsid w:val="00085BC0"/>
    <w:rsid w:val="00085EC0"/>
    <w:rsid w:val="000868F5"/>
    <w:rsid w:val="00086A8D"/>
    <w:rsid w:val="000871D0"/>
    <w:rsid w:val="000879A7"/>
    <w:rsid w:val="00090095"/>
    <w:rsid w:val="00092794"/>
    <w:rsid w:val="0009387E"/>
    <w:rsid w:val="00093DA9"/>
    <w:rsid w:val="0009508F"/>
    <w:rsid w:val="00096C9B"/>
    <w:rsid w:val="00096D2F"/>
    <w:rsid w:val="00097098"/>
    <w:rsid w:val="00097760"/>
    <w:rsid w:val="000A07EE"/>
    <w:rsid w:val="000A1089"/>
    <w:rsid w:val="000A1581"/>
    <w:rsid w:val="000A1EE1"/>
    <w:rsid w:val="000A21B3"/>
    <w:rsid w:val="000A2BFD"/>
    <w:rsid w:val="000A4025"/>
    <w:rsid w:val="000A4254"/>
    <w:rsid w:val="000A47FB"/>
    <w:rsid w:val="000A54DB"/>
    <w:rsid w:val="000A7634"/>
    <w:rsid w:val="000A7876"/>
    <w:rsid w:val="000A7EDF"/>
    <w:rsid w:val="000B03FF"/>
    <w:rsid w:val="000B07B1"/>
    <w:rsid w:val="000B11CF"/>
    <w:rsid w:val="000B1A65"/>
    <w:rsid w:val="000B3493"/>
    <w:rsid w:val="000B4C19"/>
    <w:rsid w:val="000B6EE9"/>
    <w:rsid w:val="000C05E4"/>
    <w:rsid w:val="000C0BFA"/>
    <w:rsid w:val="000C0EBB"/>
    <w:rsid w:val="000C0FB6"/>
    <w:rsid w:val="000C2290"/>
    <w:rsid w:val="000C3418"/>
    <w:rsid w:val="000C37FF"/>
    <w:rsid w:val="000C3F13"/>
    <w:rsid w:val="000C5194"/>
    <w:rsid w:val="000C56CE"/>
    <w:rsid w:val="000C65E5"/>
    <w:rsid w:val="000C6E75"/>
    <w:rsid w:val="000C7076"/>
    <w:rsid w:val="000C7A60"/>
    <w:rsid w:val="000C7E07"/>
    <w:rsid w:val="000D0B9A"/>
    <w:rsid w:val="000D2747"/>
    <w:rsid w:val="000D2D67"/>
    <w:rsid w:val="000D35D4"/>
    <w:rsid w:val="000D3FEA"/>
    <w:rsid w:val="000D4144"/>
    <w:rsid w:val="000D4226"/>
    <w:rsid w:val="000D445C"/>
    <w:rsid w:val="000D5952"/>
    <w:rsid w:val="000D790C"/>
    <w:rsid w:val="000E0539"/>
    <w:rsid w:val="000E3A2B"/>
    <w:rsid w:val="000E412F"/>
    <w:rsid w:val="000E4C22"/>
    <w:rsid w:val="000E4F2C"/>
    <w:rsid w:val="000E5CA5"/>
    <w:rsid w:val="000E5DEC"/>
    <w:rsid w:val="000F0934"/>
    <w:rsid w:val="000F1535"/>
    <w:rsid w:val="000F20F1"/>
    <w:rsid w:val="000F2772"/>
    <w:rsid w:val="000F28EA"/>
    <w:rsid w:val="000F315A"/>
    <w:rsid w:val="000F3D73"/>
    <w:rsid w:val="000F435B"/>
    <w:rsid w:val="000F4C8A"/>
    <w:rsid w:val="000F4FCF"/>
    <w:rsid w:val="000F557C"/>
    <w:rsid w:val="000F5EFD"/>
    <w:rsid w:val="000F6014"/>
    <w:rsid w:val="000F6139"/>
    <w:rsid w:val="000F74B6"/>
    <w:rsid w:val="00100615"/>
    <w:rsid w:val="001009D2"/>
    <w:rsid w:val="0010158E"/>
    <w:rsid w:val="00101B37"/>
    <w:rsid w:val="00102569"/>
    <w:rsid w:val="0010280F"/>
    <w:rsid w:val="001034AF"/>
    <w:rsid w:val="00103E3C"/>
    <w:rsid w:val="0010548A"/>
    <w:rsid w:val="001063E1"/>
    <w:rsid w:val="00106B0D"/>
    <w:rsid w:val="001070F1"/>
    <w:rsid w:val="001114EA"/>
    <w:rsid w:val="00112B79"/>
    <w:rsid w:val="00113141"/>
    <w:rsid w:val="00113FA0"/>
    <w:rsid w:val="001145A1"/>
    <w:rsid w:val="00114635"/>
    <w:rsid w:val="001164EB"/>
    <w:rsid w:val="00117087"/>
    <w:rsid w:val="001175B2"/>
    <w:rsid w:val="00117F7D"/>
    <w:rsid w:val="00121285"/>
    <w:rsid w:val="001216D8"/>
    <w:rsid w:val="001228AE"/>
    <w:rsid w:val="00123037"/>
    <w:rsid w:val="00123A43"/>
    <w:rsid w:val="00123D38"/>
    <w:rsid w:val="0012545F"/>
    <w:rsid w:val="00125985"/>
    <w:rsid w:val="0012674F"/>
    <w:rsid w:val="00130AE1"/>
    <w:rsid w:val="001332EC"/>
    <w:rsid w:val="00134C69"/>
    <w:rsid w:val="00135C9A"/>
    <w:rsid w:val="00136504"/>
    <w:rsid w:val="00136CDC"/>
    <w:rsid w:val="001406FE"/>
    <w:rsid w:val="00141F55"/>
    <w:rsid w:val="001422F4"/>
    <w:rsid w:val="00142380"/>
    <w:rsid w:val="001425F8"/>
    <w:rsid w:val="00142B8C"/>
    <w:rsid w:val="001450E0"/>
    <w:rsid w:val="00145A61"/>
    <w:rsid w:val="001461A5"/>
    <w:rsid w:val="001461FD"/>
    <w:rsid w:val="00146C4D"/>
    <w:rsid w:val="00146EF4"/>
    <w:rsid w:val="00147B7C"/>
    <w:rsid w:val="001525C2"/>
    <w:rsid w:val="001525CB"/>
    <w:rsid w:val="00152860"/>
    <w:rsid w:val="00152E76"/>
    <w:rsid w:val="00153F33"/>
    <w:rsid w:val="00153FB3"/>
    <w:rsid w:val="00154B87"/>
    <w:rsid w:val="00154CF3"/>
    <w:rsid w:val="0015536C"/>
    <w:rsid w:val="001567AD"/>
    <w:rsid w:val="00160C80"/>
    <w:rsid w:val="00161AEC"/>
    <w:rsid w:val="00162D56"/>
    <w:rsid w:val="00166AA1"/>
    <w:rsid w:val="00167669"/>
    <w:rsid w:val="001678BB"/>
    <w:rsid w:val="00170856"/>
    <w:rsid w:val="001709D1"/>
    <w:rsid w:val="00170ECE"/>
    <w:rsid w:val="00171743"/>
    <w:rsid w:val="00171CF3"/>
    <w:rsid w:val="0017227A"/>
    <w:rsid w:val="00173A9D"/>
    <w:rsid w:val="001743B8"/>
    <w:rsid w:val="00174BC5"/>
    <w:rsid w:val="0017609B"/>
    <w:rsid w:val="00176A27"/>
    <w:rsid w:val="00177F5D"/>
    <w:rsid w:val="00180528"/>
    <w:rsid w:val="0018101E"/>
    <w:rsid w:val="001835EB"/>
    <w:rsid w:val="00183905"/>
    <w:rsid w:val="001842E3"/>
    <w:rsid w:val="00184F63"/>
    <w:rsid w:val="001854F2"/>
    <w:rsid w:val="00185A8C"/>
    <w:rsid w:val="00185D39"/>
    <w:rsid w:val="00185DDB"/>
    <w:rsid w:val="00187CD8"/>
    <w:rsid w:val="00191464"/>
    <w:rsid w:val="00191C8A"/>
    <w:rsid w:val="00193DA2"/>
    <w:rsid w:val="00193DFE"/>
    <w:rsid w:val="00194681"/>
    <w:rsid w:val="001947A6"/>
    <w:rsid w:val="00195B6A"/>
    <w:rsid w:val="001960EB"/>
    <w:rsid w:val="001966AE"/>
    <w:rsid w:val="00196FE2"/>
    <w:rsid w:val="001970F1"/>
    <w:rsid w:val="00197498"/>
    <w:rsid w:val="001A20B9"/>
    <w:rsid w:val="001A2A21"/>
    <w:rsid w:val="001A3175"/>
    <w:rsid w:val="001A3834"/>
    <w:rsid w:val="001A3A8E"/>
    <w:rsid w:val="001A46FA"/>
    <w:rsid w:val="001A4C18"/>
    <w:rsid w:val="001A4E3C"/>
    <w:rsid w:val="001A56D1"/>
    <w:rsid w:val="001A6189"/>
    <w:rsid w:val="001A7534"/>
    <w:rsid w:val="001A769C"/>
    <w:rsid w:val="001A7DFB"/>
    <w:rsid w:val="001B0997"/>
    <w:rsid w:val="001B0E09"/>
    <w:rsid w:val="001B1D9C"/>
    <w:rsid w:val="001B1FD6"/>
    <w:rsid w:val="001B2066"/>
    <w:rsid w:val="001B2503"/>
    <w:rsid w:val="001B5684"/>
    <w:rsid w:val="001B5FC6"/>
    <w:rsid w:val="001B6035"/>
    <w:rsid w:val="001B7139"/>
    <w:rsid w:val="001B77F8"/>
    <w:rsid w:val="001C0B4B"/>
    <w:rsid w:val="001C2043"/>
    <w:rsid w:val="001C525E"/>
    <w:rsid w:val="001C53A5"/>
    <w:rsid w:val="001C5F0F"/>
    <w:rsid w:val="001C6099"/>
    <w:rsid w:val="001C69CE"/>
    <w:rsid w:val="001D17C0"/>
    <w:rsid w:val="001D18DF"/>
    <w:rsid w:val="001D1CC3"/>
    <w:rsid w:val="001D2CA7"/>
    <w:rsid w:val="001D3256"/>
    <w:rsid w:val="001D3F32"/>
    <w:rsid w:val="001D3F77"/>
    <w:rsid w:val="001D4C6C"/>
    <w:rsid w:val="001D5A3C"/>
    <w:rsid w:val="001D5B84"/>
    <w:rsid w:val="001D5E31"/>
    <w:rsid w:val="001D6426"/>
    <w:rsid w:val="001D67C1"/>
    <w:rsid w:val="001D6F5B"/>
    <w:rsid w:val="001D77CF"/>
    <w:rsid w:val="001D7AAE"/>
    <w:rsid w:val="001E03C5"/>
    <w:rsid w:val="001E570B"/>
    <w:rsid w:val="001E5C49"/>
    <w:rsid w:val="001E60BF"/>
    <w:rsid w:val="001E67AE"/>
    <w:rsid w:val="001E7108"/>
    <w:rsid w:val="001E7F9E"/>
    <w:rsid w:val="001E7FE9"/>
    <w:rsid w:val="001F09D7"/>
    <w:rsid w:val="001F34F8"/>
    <w:rsid w:val="001F398C"/>
    <w:rsid w:val="001F4E08"/>
    <w:rsid w:val="001F5471"/>
    <w:rsid w:val="001F598E"/>
    <w:rsid w:val="001F722F"/>
    <w:rsid w:val="00200791"/>
    <w:rsid w:val="00200B96"/>
    <w:rsid w:val="00200B9E"/>
    <w:rsid w:val="00201099"/>
    <w:rsid w:val="0020492A"/>
    <w:rsid w:val="002050E8"/>
    <w:rsid w:val="00206736"/>
    <w:rsid w:val="00206D9B"/>
    <w:rsid w:val="00207C1A"/>
    <w:rsid w:val="00207D54"/>
    <w:rsid w:val="002100C5"/>
    <w:rsid w:val="00211729"/>
    <w:rsid w:val="00212B2A"/>
    <w:rsid w:val="00215046"/>
    <w:rsid w:val="00215194"/>
    <w:rsid w:val="00215C30"/>
    <w:rsid w:val="00215CC6"/>
    <w:rsid w:val="00216087"/>
    <w:rsid w:val="002162A6"/>
    <w:rsid w:val="00216406"/>
    <w:rsid w:val="00216C2B"/>
    <w:rsid w:val="00216DC2"/>
    <w:rsid w:val="00216DE6"/>
    <w:rsid w:val="0021714B"/>
    <w:rsid w:val="0021730A"/>
    <w:rsid w:val="00221D59"/>
    <w:rsid w:val="0022259A"/>
    <w:rsid w:val="00222698"/>
    <w:rsid w:val="00223DDA"/>
    <w:rsid w:val="00223E77"/>
    <w:rsid w:val="00225BCA"/>
    <w:rsid w:val="002264AF"/>
    <w:rsid w:val="002273DF"/>
    <w:rsid w:val="00227811"/>
    <w:rsid w:val="0023095A"/>
    <w:rsid w:val="00231BBD"/>
    <w:rsid w:val="002324B9"/>
    <w:rsid w:val="00232997"/>
    <w:rsid w:val="0023367E"/>
    <w:rsid w:val="0023446E"/>
    <w:rsid w:val="002358C4"/>
    <w:rsid w:val="00236C83"/>
    <w:rsid w:val="00240611"/>
    <w:rsid w:val="002418C1"/>
    <w:rsid w:val="00241F1B"/>
    <w:rsid w:val="0024219D"/>
    <w:rsid w:val="0024246B"/>
    <w:rsid w:val="00242703"/>
    <w:rsid w:val="00242F6F"/>
    <w:rsid w:val="00243832"/>
    <w:rsid w:val="00243856"/>
    <w:rsid w:val="00245A63"/>
    <w:rsid w:val="00246155"/>
    <w:rsid w:val="002476DF"/>
    <w:rsid w:val="00247BB2"/>
    <w:rsid w:val="002501CA"/>
    <w:rsid w:val="00250E39"/>
    <w:rsid w:val="00251119"/>
    <w:rsid w:val="00251C4A"/>
    <w:rsid w:val="0025308C"/>
    <w:rsid w:val="002531D1"/>
    <w:rsid w:val="002533D6"/>
    <w:rsid w:val="00254C94"/>
    <w:rsid w:val="00254EB5"/>
    <w:rsid w:val="00255B6E"/>
    <w:rsid w:val="002567F5"/>
    <w:rsid w:val="00256B4D"/>
    <w:rsid w:val="00256DFD"/>
    <w:rsid w:val="00257BFA"/>
    <w:rsid w:val="00261E9F"/>
    <w:rsid w:val="002626E4"/>
    <w:rsid w:val="00262CB7"/>
    <w:rsid w:val="00263B2A"/>
    <w:rsid w:val="00263B98"/>
    <w:rsid w:val="002650D4"/>
    <w:rsid w:val="002656DB"/>
    <w:rsid w:val="002662F1"/>
    <w:rsid w:val="002665EF"/>
    <w:rsid w:val="00266E0F"/>
    <w:rsid w:val="002674DF"/>
    <w:rsid w:val="00267ABF"/>
    <w:rsid w:val="00270D33"/>
    <w:rsid w:val="00271089"/>
    <w:rsid w:val="002714B3"/>
    <w:rsid w:val="002722E9"/>
    <w:rsid w:val="00272362"/>
    <w:rsid w:val="00272510"/>
    <w:rsid w:val="00272805"/>
    <w:rsid w:val="0027324A"/>
    <w:rsid w:val="00273A18"/>
    <w:rsid w:val="00273D8A"/>
    <w:rsid w:val="002748AD"/>
    <w:rsid w:val="002752C2"/>
    <w:rsid w:val="002756FA"/>
    <w:rsid w:val="002806BE"/>
    <w:rsid w:val="00280B26"/>
    <w:rsid w:val="00281E8E"/>
    <w:rsid w:val="002827E7"/>
    <w:rsid w:val="00282AB1"/>
    <w:rsid w:val="00282F87"/>
    <w:rsid w:val="00283675"/>
    <w:rsid w:val="00283BD2"/>
    <w:rsid w:val="00284293"/>
    <w:rsid w:val="00285AF7"/>
    <w:rsid w:val="00290262"/>
    <w:rsid w:val="00290D50"/>
    <w:rsid w:val="00291D8A"/>
    <w:rsid w:val="0029218A"/>
    <w:rsid w:val="00292210"/>
    <w:rsid w:val="00292FB8"/>
    <w:rsid w:val="00292FD1"/>
    <w:rsid w:val="00294A30"/>
    <w:rsid w:val="00294E39"/>
    <w:rsid w:val="00294F7D"/>
    <w:rsid w:val="0029702B"/>
    <w:rsid w:val="00297D9A"/>
    <w:rsid w:val="002A0B66"/>
    <w:rsid w:val="002A2311"/>
    <w:rsid w:val="002A4061"/>
    <w:rsid w:val="002A4063"/>
    <w:rsid w:val="002A4200"/>
    <w:rsid w:val="002A44D3"/>
    <w:rsid w:val="002A4A3C"/>
    <w:rsid w:val="002A56E5"/>
    <w:rsid w:val="002A6581"/>
    <w:rsid w:val="002A7BB7"/>
    <w:rsid w:val="002A7D07"/>
    <w:rsid w:val="002B096B"/>
    <w:rsid w:val="002B09C7"/>
    <w:rsid w:val="002B0AB3"/>
    <w:rsid w:val="002B1F79"/>
    <w:rsid w:val="002B23A0"/>
    <w:rsid w:val="002B2734"/>
    <w:rsid w:val="002B5B1E"/>
    <w:rsid w:val="002B6AF2"/>
    <w:rsid w:val="002C09B6"/>
    <w:rsid w:val="002C0CB7"/>
    <w:rsid w:val="002C1143"/>
    <w:rsid w:val="002C1A4D"/>
    <w:rsid w:val="002C250A"/>
    <w:rsid w:val="002C5B4B"/>
    <w:rsid w:val="002D00F9"/>
    <w:rsid w:val="002D2F4D"/>
    <w:rsid w:val="002D44C9"/>
    <w:rsid w:val="002D4D8C"/>
    <w:rsid w:val="002D503E"/>
    <w:rsid w:val="002D512F"/>
    <w:rsid w:val="002E0062"/>
    <w:rsid w:val="002E08EF"/>
    <w:rsid w:val="002E18AD"/>
    <w:rsid w:val="002E1D27"/>
    <w:rsid w:val="002E23DC"/>
    <w:rsid w:val="002E25D4"/>
    <w:rsid w:val="002E3DA3"/>
    <w:rsid w:val="002E57CA"/>
    <w:rsid w:val="002E687A"/>
    <w:rsid w:val="002E7A64"/>
    <w:rsid w:val="002E7C24"/>
    <w:rsid w:val="002F0150"/>
    <w:rsid w:val="002F0208"/>
    <w:rsid w:val="002F1CC1"/>
    <w:rsid w:val="002F35FB"/>
    <w:rsid w:val="002F36F9"/>
    <w:rsid w:val="002F40C4"/>
    <w:rsid w:val="002F66C7"/>
    <w:rsid w:val="002F6D85"/>
    <w:rsid w:val="002F7663"/>
    <w:rsid w:val="00301872"/>
    <w:rsid w:val="003035B4"/>
    <w:rsid w:val="003037A7"/>
    <w:rsid w:val="0030384A"/>
    <w:rsid w:val="00304550"/>
    <w:rsid w:val="0031012E"/>
    <w:rsid w:val="00310653"/>
    <w:rsid w:val="00313874"/>
    <w:rsid w:val="00313D7F"/>
    <w:rsid w:val="00315405"/>
    <w:rsid w:val="0031654C"/>
    <w:rsid w:val="0031706A"/>
    <w:rsid w:val="00317E86"/>
    <w:rsid w:val="0032037D"/>
    <w:rsid w:val="0032102B"/>
    <w:rsid w:val="003238A6"/>
    <w:rsid w:val="00330DAC"/>
    <w:rsid w:val="00331194"/>
    <w:rsid w:val="00332E30"/>
    <w:rsid w:val="00333CA5"/>
    <w:rsid w:val="00333EFD"/>
    <w:rsid w:val="00334E3F"/>
    <w:rsid w:val="00336CFE"/>
    <w:rsid w:val="00337FF1"/>
    <w:rsid w:val="003402E2"/>
    <w:rsid w:val="00340D23"/>
    <w:rsid w:val="003414CF"/>
    <w:rsid w:val="00342218"/>
    <w:rsid w:val="00342F04"/>
    <w:rsid w:val="00342FCE"/>
    <w:rsid w:val="00343329"/>
    <w:rsid w:val="00344BB8"/>
    <w:rsid w:val="00344D18"/>
    <w:rsid w:val="00345110"/>
    <w:rsid w:val="00345B35"/>
    <w:rsid w:val="00345D81"/>
    <w:rsid w:val="003461DF"/>
    <w:rsid w:val="00350CDD"/>
    <w:rsid w:val="00352D84"/>
    <w:rsid w:val="00353157"/>
    <w:rsid w:val="003538E3"/>
    <w:rsid w:val="00354E45"/>
    <w:rsid w:val="00355526"/>
    <w:rsid w:val="00356412"/>
    <w:rsid w:val="00356AB5"/>
    <w:rsid w:val="003571C0"/>
    <w:rsid w:val="00360567"/>
    <w:rsid w:val="00363072"/>
    <w:rsid w:val="00364DF4"/>
    <w:rsid w:val="003666BA"/>
    <w:rsid w:val="0037024E"/>
    <w:rsid w:val="0037140C"/>
    <w:rsid w:val="003719ED"/>
    <w:rsid w:val="00371F39"/>
    <w:rsid w:val="0037236E"/>
    <w:rsid w:val="00373FEC"/>
    <w:rsid w:val="00374C1F"/>
    <w:rsid w:val="0037634A"/>
    <w:rsid w:val="0038045D"/>
    <w:rsid w:val="003806BB"/>
    <w:rsid w:val="00380DE1"/>
    <w:rsid w:val="00381B07"/>
    <w:rsid w:val="00381DEE"/>
    <w:rsid w:val="0038324B"/>
    <w:rsid w:val="0038388F"/>
    <w:rsid w:val="0038390C"/>
    <w:rsid w:val="00384D87"/>
    <w:rsid w:val="003854AD"/>
    <w:rsid w:val="00385800"/>
    <w:rsid w:val="00385E21"/>
    <w:rsid w:val="00386556"/>
    <w:rsid w:val="0038676C"/>
    <w:rsid w:val="00386E75"/>
    <w:rsid w:val="003874EA"/>
    <w:rsid w:val="00387618"/>
    <w:rsid w:val="0039179E"/>
    <w:rsid w:val="0039194E"/>
    <w:rsid w:val="00391A5D"/>
    <w:rsid w:val="00391CD2"/>
    <w:rsid w:val="00392BF2"/>
    <w:rsid w:val="00393110"/>
    <w:rsid w:val="003934F0"/>
    <w:rsid w:val="00393BA5"/>
    <w:rsid w:val="00395AA1"/>
    <w:rsid w:val="003962AB"/>
    <w:rsid w:val="00396CA8"/>
    <w:rsid w:val="00397025"/>
    <w:rsid w:val="003A0B7F"/>
    <w:rsid w:val="003A1330"/>
    <w:rsid w:val="003A1433"/>
    <w:rsid w:val="003A2105"/>
    <w:rsid w:val="003A2477"/>
    <w:rsid w:val="003A3069"/>
    <w:rsid w:val="003A4909"/>
    <w:rsid w:val="003A4B6B"/>
    <w:rsid w:val="003A554C"/>
    <w:rsid w:val="003A6406"/>
    <w:rsid w:val="003A69D5"/>
    <w:rsid w:val="003B0828"/>
    <w:rsid w:val="003B322F"/>
    <w:rsid w:val="003B3503"/>
    <w:rsid w:val="003B3928"/>
    <w:rsid w:val="003B4458"/>
    <w:rsid w:val="003B4622"/>
    <w:rsid w:val="003B4631"/>
    <w:rsid w:val="003B5684"/>
    <w:rsid w:val="003B7A88"/>
    <w:rsid w:val="003C0725"/>
    <w:rsid w:val="003C0B34"/>
    <w:rsid w:val="003C0FAA"/>
    <w:rsid w:val="003C168A"/>
    <w:rsid w:val="003C34BC"/>
    <w:rsid w:val="003C370F"/>
    <w:rsid w:val="003C3C7D"/>
    <w:rsid w:val="003C402C"/>
    <w:rsid w:val="003C4301"/>
    <w:rsid w:val="003C4434"/>
    <w:rsid w:val="003C4DC3"/>
    <w:rsid w:val="003C4FE9"/>
    <w:rsid w:val="003C540F"/>
    <w:rsid w:val="003C685F"/>
    <w:rsid w:val="003C7DD9"/>
    <w:rsid w:val="003C7DDC"/>
    <w:rsid w:val="003D02D8"/>
    <w:rsid w:val="003D0F30"/>
    <w:rsid w:val="003D22C1"/>
    <w:rsid w:val="003D2DA3"/>
    <w:rsid w:val="003D4642"/>
    <w:rsid w:val="003D4C4D"/>
    <w:rsid w:val="003D4FA7"/>
    <w:rsid w:val="003D575C"/>
    <w:rsid w:val="003D5916"/>
    <w:rsid w:val="003D5B9E"/>
    <w:rsid w:val="003D6BFB"/>
    <w:rsid w:val="003D6F48"/>
    <w:rsid w:val="003D780D"/>
    <w:rsid w:val="003D7B6C"/>
    <w:rsid w:val="003D7EDF"/>
    <w:rsid w:val="003E1282"/>
    <w:rsid w:val="003E3305"/>
    <w:rsid w:val="003E3588"/>
    <w:rsid w:val="003E4CBC"/>
    <w:rsid w:val="003E595C"/>
    <w:rsid w:val="003E68CA"/>
    <w:rsid w:val="003F0116"/>
    <w:rsid w:val="003F0FAD"/>
    <w:rsid w:val="003F275E"/>
    <w:rsid w:val="003F281B"/>
    <w:rsid w:val="003F3FC9"/>
    <w:rsid w:val="003F54B3"/>
    <w:rsid w:val="003F550A"/>
    <w:rsid w:val="003F60E1"/>
    <w:rsid w:val="003F6F7C"/>
    <w:rsid w:val="003F7AD1"/>
    <w:rsid w:val="004004B9"/>
    <w:rsid w:val="00400768"/>
    <w:rsid w:val="00400E51"/>
    <w:rsid w:val="00402812"/>
    <w:rsid w:val="00402D37"/>
    <w:rsid w:val="00403B63"/>
    <w:rsid w:val="00403FCB"/>
    <w:rsid w:val="00404AFA"/>
    <w:rsid w:val="00405F19"/>
    <w:rsid w:val="0040652C"/>
    <w:rsid w:val="004066E0"/>
    <w:rsid w:val="00410AEE"/>
    <w:rsid w:val="00410B5D"/>
    <w:rsid w:val="00411483"/>
    <w:rsid w:val="004114CC"/>
    <w:rsid w:val="004137EE"/>
    <w:rsid w:val="0041388A"/>
    <w:rsid w:val="00414141"/>
    <w:rsid w:val="00414CB7"/>
    <w:rsid w:val="00415AD6"/>
    <w:rsid w:val="00416387"/>
    <w:rsid w:val="00416545"/>
    <w:rsid w:val="00416573"/>
    <w:rsid w:val="00416DC2"/>
    <w:rsid w:val="00416DF9"/>
    <w:rsid w:val="0041789D"/>
    <w:rsid w:val="004202AA"/>
    <w:rsid w:val="00420490"/>
    <w:rsid w:val="00420624"/>
    <w:rsid w:val="00420737"/>
    <w:rsid w:val="0042174A"/>
    <w:rsid w:val="00421C4B"/>
    <w:rsid w:val="00422AAB"/>
    <w:rsid w:val="0042399E"/>
    <w:rsid w:val="00423DF4"/>
    <w:rsid w:val="00424262"/>
    <w:rsid w:val="004247A4"/>
    <w:rsid w:val="0042497B"/>
    <w:rsid w:val="00426B8A"/>
    <w:rsid w:val="004273F5"/>
    <w:rsid w:val="0042748C"/>
    <w:rsid w:val="004301B8"/>
    <w:rsid w:val="00430867"/>
    <w:rsid w:val="00430FA6"/>
    <w:rsid w:val="0043143C"/>
    <w:rsid w:val="00431B86"/>
    <w:rsid w:val="004323AB"/>
    <w:rsid w:val="00432BCC"/>
    <w:rsid w:val="00435682"/>
    <w:rsid w:val="00436289"/>
    <w:rsid w:val="004365C8"/>
    <w:rsid w:val="00436801"/>
    <w:rsid w:val="00441609"/>
    <w:rsid w:val="00441C11"/>
    <w:rsid w:val="00442F72"/>
    <w:rsid w:val="004448C6"/>
    <w:rsid w:val="0044699A"/>
    <w:rsid w:val="00447279"/>
    <w:rsid w:val="004505C8"/>
    <w:rsid w:val="00450616"/>
    <w:rsid w:val="0045081B"/>
    <w:rsid w:val="0045213B"/>
    <w:rsid w:val="0045477B"/>
    <w:rsid w:val="00454E3F"/>
    <w:rsid w:val="004558A9"/>
    <w:rsid w:val="00456058"/>
    <w:rsid w:val="00461440"/>
    <w:rsid w:val="00461BCD"/>
    <w:rsid w:val="004621D6"/>
    <w:rsid w:val="0046227D"/>
    <w:rsid w:val="00462C15"/>
    <w:rsid w:val="00462ECA"/>
    <w:rsid w:val="004634B0"/>
    <w:rsid w:val="00463EAF"/>
    <w:rsid w:val="00464693"/>
    <w:rsid w:val="00464C08"/>
    <w:rsid w:val="00465456"/>
    <w:rsid w:val="0046632A"/>
    <w:rsid w:val="00467063"/>
    <w:rsid w:val="00467A0F"/>
    <w:rsid w:val="00473496"/>
    <w:rsid w:val="0047594C"/>
    <w:rsid w:val="00476DBF"/>
    <w:rsid w:val="00477E53"/>
    <w:rsid w:val="004806A4"/>
    <w:rsid w:val="00480B79"/>
    <w:rsid w:val="00481092"/>
    <w:rsid w:val="004812C2"/>
    <w:rsid w:val="00482427"/>
    <w:rsid w:val="0048611F"/>
    <w:rsid w:val="004865AA"/>
    <w:rsid w:val="004879A6"/>
    <w:rsid w:val="00487ED6"/>
    <w:rsid w:val="00490DA4"/>
    <w:rsid w:val="004918F0"/>
    <w:rsid w:val="00491BEE"/>
    <w:rsid w:val="004938DB"/>
    <w:rsid w:val="0049400B"/>
    <w:rsid w:val="00494E50"/>
    <w:rsid w:val="00497DFE"/>
    <w:rsid w:val="004A06DA"/>
    <w:rsid w:val="004A18F3"/>
    <w:rsid w:val="004A2A33"/>
    <w:rsid w:val="004A3A14"/>
    <w:rsid w:val="004A4728"/>
    <w:rsid w:val="004A4BA5"/>
    <w:rsid w:val="004A73D8"/>
    <w:rsid w:val="004B11AE"/>
    <w:rsid w:val="004B39ED"/>
    <w:rsid w:val="004B3E2E"/>
    <w:rsid w:val="004B4878"/>
    <w:rsid w:val="004B4A6B"/>
    <w:rsid w:val="004B5375"/>
    <w:rsid w:val="004B6379"/>
    <w:rsid w:val="004B675F"/>
    <w:rsid w:val="004B6ED9"/>
    <w:rsid w:val="004C1190"/>
    <w:rsid w:val="004C24AE"/>
    <w:rsid w:val="004C2F37"/>
    <w:rsid w:val="004C3AFF"/>
    <w:rsid w:val="004C4E69"/>
    <w:rsid w:val="004C5563"/>
    <w:rsid w:val="004C5DEE"/>
    <w:rsid w:val="004C6651"/>
    <w:rsid w:val="004C6765"/>
    <w:rsid w:val="004C7164"/>
    <w:rsid w:val="004C7F1F"/>
    <w:rsid w:val="004D03C5"/>
    <w:rsid w:val="004D04D3"/>
    <w:rsid w:val="004D0FBC"/>
    <w:rsid w:val="004D16B2"/>
    <w:rsid w:val="004D1EB8"/>
    <w:rsid w:val="004D2239"/>
    <w:rsid w:val="004D2DB2"/>
    <w:rsid w:val="004D3C59"/>
    <w:rsid w:val="004D3E08"/>
    <w:rsid w:val="004D3E8F"/>
    <w:rsid w:val="004D48B6"/>
    <w:rsid w:val="004D4D4D"/>
    <w:rsid w:val="004D5206"/>
    <w:rsid w:val="004D5A86"/>
    <w:rsid w:val="004D60E6"/>
    <w:rsid w:val="004D7108"/>
    <w:rsid w:val="004E0898"/>
    <w:rsid w:val="004E0CE6"/>
    <w:rsid w:val="004E16DE"/>
    <w:rsid w:val="004E1F57"/>
    <w:rsid w:val="004E3481"/>
    <w:rsid w:val="004E45F9"/>
    <w:rsid w:val="004E5D3E"/>
    <w:rsid w:val="004E6DC1"/>
    <w:rsid w:val="004E7AC2"/>
    <w:rsid w:val="004E7E7D"/>
    <w:rsid w:val="004F0B01"/>
    <w:rsid w:val="004F2DD2"/>
    <w:rsid w:val="004F4F4E"/>
    <w:rsid w:val="004F5B5F"/>
    <w:rsid w:val="004F5DE5"/>
    <w:rsid w:val="004F6574"/>
    <w:rsid w:val="004F68D9"/>
    <w:rsid w:val="00500EEF"/>
    <w:rsid w:val="0050103F"/>
    <w:rsid w:val="0050113F"/>
    <w:rsid w:val="00501323"/>
    <w:rsid w:val="005014F4"/>
    <w:rsid w:val="00502E7B"/>
    <w:rsid w:val="005037AC"/>
    <w:rsid w:val="00503C0C"/>
    <w:rsid w:val="0050409E"/>
    <w:rsid w:val="005042A8"/>
    <w:rsid w:val="0050552E"/>
    <w:rsid w:val="00506539"/>
    <w:rsid w:val="0051025F"/>
    <w:rsid w:val="0051296D"/>
    <w:rsid w:val="0051297E"/>
    <w:rsid w:val="00513EEB"/>
    <w:rsid w:val="00514571"/>
    <w:rsid w:val="0051642B"/>
    <w:rsid w:val="0051648E"/>
    <w:rsid w:val="0052279A"/>
    <w:rsid w:val="00524DF5"/>
    <w:rsid w:val="005250B9"/>
    <w:rsid w:val="0052515C"/>
    <w:rsid w:val="00525330"/>
    <w:rsid w:val="0052661D"/>
    <w:rsid w:val="00526A46"/>
    <w:rsid w:val="00526F09"/>
    <w:rsid w:val="00527224"/>
    <w:rsid w:val="0052735E"/>
    <w:rsid w:val="005305A0"/>
    <w:rsid w:val="005315B5"/>
    <w:rsid w:val="00531936"/>
    <w:rsid w:val="00531A44"/>
    <w:rsid w:val="00531B46"/>
    <w:rsid w:val="00531EF2"/>
    <w:rsid w:val="0053256D"/>
    <w:rsid w:val="00532EC7"/>
    <w:rsid w:val="00534067"/>
    <w:rsid w:val="00534C25"/>
    <w:rsid w:val="005355CC"/>
    <w:rsid w:val="005365D6"/>
    <w:rsid w:val="00537FD5"/>
    <w:rsid w:val="005408EA"/>
    <w:rsid w:val="00541245"/>
    <w:rsid w:val="00541909"/>
    <w:rsid w:val="005425AB"/>
    <w:rsid w:val="00543024"/>
    <w:rsid w:val="0054341F"/>
    <w:rsid w:val="005435FB"/>
    <w:rsid w:val="00543657"/>
    <w:rsid w:val="00547131"/>
    <w:rsid w:val="00547989"/>
    <w:rsid w:val="005504B5"/>
    <w:rsid w:val="00550766"/>
    <w:rsid w:val="005511F8"/>
    <w:rsid w:val="00551A97"/>
    <w:rsid w:val="00554076"/>
    <w:rsid w:val="00554C89"/>
    <w:rsid w:val="005557B2"/>
    <w:rsid w:val="00555B14"/>
    <w:rsid w:val="00555ED4"/>
    <w:rsid w:val="005564E0"/>
    <w:rsid w:val="005611E4"/>
    <w:rsid w:val="00561204"/>
    <w:rsid w:val="0056251B"/>
    <w:rsid w:val="005638EE"/>
    <w:rsid w:val="00564086"/>
    <w:rsid w:val="00565131"/>
    <w:rsid w:val="005655A2"/>
    <w:rsid w:val="00565AC5"/>
    <w:rsid w:val="00565EE5"/>
    <w:rsid w:val="00566AFE"/>
    <w:rsid w:val="0057081B"/>
    <w:rsid w:val="00572E1F"/>
    <w:rsid w:val="0057505B"/>
    <w:rsid w:val="00575569"/>
    <w:rsid w:val="005767B7"/>
    <w:rsid w:val="0057680F"/>
    <w:rsid w:val="00577003"/>
    <w:rsid w:val="00577A90"/>
    <w:rsid w:val="00581440"/>
    <w:rsid w:val="0058209F"/>
    <w:rsid w:val="0058301F"/>
    <w:rsid w:val="0058316E"/>
    <w:rsid w:val="00584048"/>
    <w:rsid w:val="005842C6"/>
    <w:rsid w:val="00584451"/>
    <w:rsid w:val="0058445D"/>
    <w:rsid w:val="00584CA4"/>
    <w:rsid w:val="00586F69"/>
    <w:rsid w:val="00587B32"/>
    <w:rsid w:val="0059120E"/>
    <w:rsid w:val="00591383"/>
    <w:rsid w:val="00592B35"/>
    <w:rsid w:val="00592C97"/>
    <w:rsid w:val="00594F01"/>
    <w:rsid w:val="00595134"/>
    <w:rsid w:val="00595ACE"/>
    <w:rsid w:val="0059699E"/>
    <w:rsid w:val="00596C3E"/>
    <w:rsid w:val="00596F60"/>
    <w:rsid w:val="0059764B"/>
    <w:rsid w:val="005A0A56"/>
    <w:rsid w:val="005A18B2"/>
    <w:rsid w:val="005A2613"/>
    <w:rsid w:val="005A2AB2"/>
    <w:rsid w:val="005A37D0"/>
    <w:rsid w:val="005A3969"/>
    <w:rsid w:val="005A4DBE"/>
    <w:rsid w:val="005A7794"/>
    <w:rsid w:val="005B0EE1"/>
    <w:rsid w:val="005B23DD"/>
    <w:rsid w:val="005B28B2"/>
    <w:rsid w:val="005B2DA8"/>
    <w:rsid w:val="005B32B8"/>
    <w:rsid w:val="005B3835"/>
    <w:rsid w:val="005B4496"/>
    <w:rsid w:val="005B46BB"/>
    <w:rsid w:val="005B51D8"/>
    <w:rsid w:val="005B5287"/>
    <w:rsid w:val="005B5582"/>
    <w:rsid w:val="005B58B9"/>
    <w:rsid w:val="005B5E66"/>
    <w:rsid w:val="005B63B3"/>
    <w:rsid w:val="005B7D27"/>
    <w:rsid w:val="005C1597"/>
    <w:rsid w:val="005C2136"/>
    <w:rsid w:val="005C2F4A"/>
    <w:rsid w:val="005C3260"/>
    <w:rsid w:val="005C428F"/>
    <w:rsid w:val="005C4616"/>
    <w:rsid w:val="005C4964"/>
    <w:rsid w:val="005C5AE7"/>
    <w:rsid w:val="005C5D50"/>
    <w:rsid w:val="005C6722"/>
    <w:rsid w:val="005C727E"/>
    <w:rsid w:val="005D0631"/>
    <w:rsid w:val="005D1E20"/>
    <w:rsid w:val="005D1E86"/>
    <w:rsid w:val="005D206B"/>
    <w:rsid w:val="005D618B"/>
    <w:rsid w:val="005D6A83"/>
    <w:rsid w:val="005D6C04"/>
    <w:rsid w:val="005D6C45"/>
    <w:rsid w:val="005D6FA8"/>
    <w:rsid w:val="005D784F"/>
    <w:rsid w:val="005E08BC"/>
    <w:rsid w:val="005E2352"/>
    <w:rsid w:val="005E23CB"/>
    <w:rsid w:val="005E2F13"/>
    <w:rsid w:val="005E47F7"/>
    <w:rsid w:val="005E62CD"/>
    <w:rsid w:val="005E6402"/>
    <w:rsid w:val="005E6A0A"/>
    <w:rsid w:val="005E7FE5"/>
    <w:rsid w:val="005F0007"/>
    <w:rsid w:val="005F095A"/>
    <w:rsid w:val="005F2594"/>
    <w:rsid w:val="005F29D2"/>
    <w:rsid w:val="005F2BC9"/>
    <w:rsid w:val="005F2FD8"/>
    <w:rsid w:val="005F3D9A"/>
    <w:rsid w:val="005F4B8D"/>
    <w:rsid w:val="005F5162"/>
    <w:rsid w:val="005F5C2A"/>
    <w:rsid w:val="005F64CF"/>
    <w:rsid w:val="005F6D2A"/>
    <w:rsid w:val="00600D07"/>
    <w:rsid w:val="00600E83"/>
    <w:rsid w:val="0060134D"/>
    <w:rsid w:val="00601A22"/>
    <w:rsid w:val="00601C2C"/>
    <w:rsid w:val="0060538F"/>
    <w:rsid w:val="00606608"/>
    <w:rsid w:val="00607472"/>
    <w:rsid w:val="00610201"/>
    <w:rsid w:val="00614D04"/>
    <w:rsid w:val="0061594F"/>
    <w:rsid w:val="00617AB1"/>
    <w:rsid w:val="0062189A"/>
    <w:rsid w:val="00621B84"/>
    <w:rsid w:val="00621EBA"/>
    <w:rsid w:val="0062235B"/>
    <w:rsid w:val="00622AC1"/>
    <w:rsid w:val="006231DF"/>
    <w:rsid w:val="0062341C"/>
    <w:rsid w:val="00624561"/>
    <w:rsid w:val="00625467"/>
    <w:rsid w:val="00626665"/>
    <w:rsid w:val="00626AA1"/>
    <w:rsid w:val="00626C2C"/>
    <w:rsid w:val="00626C88"/>
    <w:rsid w:val="00627FBE"/>
    <w:rsid w:val="00627FEB"/>
    <w:rsid w:val="00630CF6"/>
    <w:rsid w:val="006313B4"/>
    <w:rsid w:val="0063258E"/>
    <w:rsid w:val="006329EF"/>
    <w:rsid w:val="00632B59"/>
    <w:rsid w:val="00632B8D"/>
    <w:rsid w:val="006334A5"/>
    <w:rsid w:val="00634CC1"/>
    <w:rsid w:val="006366BA"/>
    <w:rsid w:val="0064111E"/>
    <w:rsid w:val="006429FD"/>
    <w:rsid w:val="00642F6C"/>
    <w:rsid w:val="006438CF"/>
    <w:rsid w:val="00644056"/>
    <w:rsid w:val="00644CFF"/>
    <w:rsid w:val="00645BB4"/>
    <w:rsid w:val="00645E6B"/>
    <w:rsid w:val="00646425"/>
    <w:rsid w:val="00646F48"/>
    <w:rsid w:val="006479B9"/>
    <w:rsid w:val="00647EAC"/>
    <w:rsid w:val="00647F9E"/>
    <w:rsid w:val="00650AB5"/>
    <w:rsid w:val="00651ACE"/>
    <w:rsid w:val="00651F21"/>
    <w:rsid w:val="0065254B"/>
    <w:rsid w:val="0065287A"/>
    <w:rsid w:val="00652B19"/>
    <w:rsid w:val="0065425D"/>
    <w:rsid w:val="00654763"/>
    <w:rsid w:val="006549C7"/>
    <w:rsid w:val="006549DE"/>
    <w:rsid w:val="00656252"/>
    <w:rsid w:val="00657312"/>
    <w:rsid w:val="00657A9C"/>
    <w:rsid w:val="00657DDF"/>
    <w:rsid w:val="00660008"/>
    <w:rsid w:val="00660D33"/>
    <w:rsid w:val="00661805"/>
    <w:rsid w:val="00661A81"/>
    <w:rsid w:val="00661ED9"/>
    <w:rsid w:val="006626A6"/>
    <w:rsid w:val="00662F0A"/>
    <w:rsid w:val="006635C7"/>
    <w:rsid w:val="006645DA"/>
    <w:rsid w:val="0066464E"/>
    <w:rsid w:val="00664934"/>
    <w:rsid w:val="00665FDD"/>
    <w:rsid w:val="00666436"/>
    <w:rsid w:val="006673C6"/>
    <w:rsid w:val="006707FA"/>
    <w:rsid w:val="00670C08"/>
    <w:rsid w:val="00671E18"/>
    <w:rsid w:val="00672B30"/>
    <w:rsid w:val="00672B59"/>
    <w:rsid w:val="00672B60"/>
    <w:rsid w:val="00673087"/>
    <w:rsid w:val="006732B1"/>
    <w:rsid w:val="0067428E"/>
    <w:rsid w:val="006743AB"/>
    <w:rsid w:val="00674B6C"/>
    <w:rsid w:val="00674CB3"/>
    <w:rsid w:val="00676D69"/>
    <w:rsid w:val="006773B8"/>
    <w:rsid w:val="00677612"/>
    <w:rsid w:val="0067795C"/>
    <w:rsid w:val="00680270"/>
    <w:rsid w:val="006816EF"/>
    <w:rsid w:val="00683194"/>
    <w:rsid w:val="00683B75"/>
    <w:rsid w:val="00683C8C"/>
    <w:rsid w:val="006846D5"/>
    <w:rsid w:val="00684C15"/>
    <w:rsid w:val="00687198"/>
    <w:rsid w:val="00687920"/>
    <w:rsid w:val="00687A8D"/>
    <w:rsid w:val="00687E4F"/>
    <w:rsid w:val="00690D14"/>
    <w:rsid w:val="00690F0D"/>
    <w:rsid w:val="0069148E"/>
    <w:rsid w:val="00693270"/>
    <w:rsid w:val="00693EEA"/>
    <w:rsid w:val="006949A0"/>
    <w:rsid w:val="00695680"/>
    <w:rsid w:val="00695966"/>
    <w:rsid w:val="00696620"/>
    <w:rsid w:val="00697911"/>
    <w:rsid w:val="00697FBE"/>
    <w:rsid w:val="006A0204"/>
    <w:rsid w:val="006A1563"/>
    <w:rsid w:val="006A37FA"/>
    <w:rsid w:val="006A3DE4"/>
    <w:rsid w:val="006A3DE9"/>
    <w:rsid w:val="006A5201"/>
    <w:rsid w:val="006A5D8B"/>
    <w:rsid w:val="006A5FB8"/>
    <w:rsid w:val="006A6359"/>
    <w:rsid w:val="006A6400"/>
    <w:rsid w:val="006A715A"/>
    <w:rsid w:val="006B0AE7"/>
    <w:rsid w:val="006B0B42"/>
    <w:rsid w:val="006B3764"/>
    <w:rsid w:val="006B3CC7"/>
    <w:rsid w:val="006B541D"/>
    <w:rsid w:val="006B57C9"/>
    <w:rsid w:val="006B5C47"/>
    <w:rsid w:val="006B6BDD"/>
    <w:rsid w:val="006B7610"/>
    <w:rsid w:val="006C24A4"/>
    <w:rsid w:val="006C2904"/>
    <w:rsid w:val="006C4179"/>
    <w:rsid w:val="006C482F"/>
    <w:rsid w:val="006C4F16"/>
    <w:rsid w:val="006C6B06"/>
    <w:rsid w:val="006C6F21"/>
    <w:rsid w:val="006C7883"/>
    <w:rsid w:val="006D0C17"/>
    <w:rsid w:val="006D0E46"/>
    <w:rsid w:val="006D1225"/>
    <w:rsid w:val="006D1729"/>
    <w:rsid w:val="006D23A4"/>
    <w:rsid w:val="006D2CC9"/>
    <w:rsid w:val="006D37AB"/>
    <w:rsid w:val="006D4510"/>
    <w:rsid w:val="006D4C06"/>
    <w:rsid w:val="006D527C"/>
    <w:rsid w:val="006D52BC"/>
    <w:rsid w:val="006D5F59"/>
    <w:rsid w:val="006D6523"/>
    <w:rsid w:val="006D7070"/>
    <w:rsid w:val="006D7E85"/>
    <w:rsid w:val="006E0FAA"/>
    <w:rsid w:val="006E1348"/>
    <w:rsid w:val="006E1797"/>
    <w:rsid w:val="006E2BE6"/>
    <w:rsid w:val="006E475C"/>
    <w:rsid w:val="006E4D22"/>
    <w:rsid w:val="006E5499"/>
    <w:rsid w:val="006E5B51"/>
    <w:rsid w:val="006E67E7"/>
    <w:rsid w:val="006E693A"/>
    <w:rsid w:val="006F0CB2"/>
    <w:rsid w:val="006F21D4"/>
    <w:rsid w:val="006F2EF3"/>
    <w:rsid w:val="006F4FC0"/>
    <w:rsid w:val="006F520A"/>
    <w:rsid w:val="006F66F0"/>
    <w:rsid w:val="006F7517"/>
    <w:rsid w:val="006F75EF"/>
    <w:rsid w:val="0070004B"/>
    <w:rsid w:val="00700E11"/>
    <w:rsid w:val="0070177A"/>
    <w:rsid w:val="00701C76"/>
    <w:rsid w:val="00702115"/>
    <w:rsid w:val="0070280F"/>
    <w:rsid w:val="00703139"/>
    <w:rsid w:val="00703C9D"/>
    <w:rsid w:val="007057F6"/>
    <w:rsid w:val="00705C83"/>
    <w:rsid w:val="007065D0"/>
    <w:rsid w:val="007068E8"/>
    <w:rsid w:val="00706C49"/>
    <w:rsid w:val="00707AF1"/>
    <w:rsid w:val="007117B1"/>
    <w:rsid w:val="00712C6C"/>
    <w:rsid w:val="007130F8"/>
    <w:rsid w:val="00714B1C"/>
    <w:rsid w:val="00714BF6"/>
    <w:rsid w:val="0071535B"/>
    <w:rsid w:val="007156E2"/>
    <w:rsid w:val="0071648F"/>
    <w:rsid w:val="007168E4"/>
    <w:rsid w:val="00716B06"/>
    <w:rsid w:val="00720393"/>
    <w:rsid w:val="007204CA"/>
    <w:rsid w:val="00720874"/>
    <w:rsid w:val="00722163"/>
    <w:rsid w:val="00722519"/>
    <w:rsid w:val="00723E84"/>
    <w:rsid w:val="00724B0C"/>
    <w:rsid w:val="00726037"/>
    <w:rsid w:val="00726FC3"/>
    <w:rsid w:val="00727204"/>
    <w:rsid w:val="007278BE"/>
    <w:rsid w:val="00730B4E"/>
    <w:rsid w:val="00731290"/>
    <w:rsid w:val="0073152C"/>
    <w:rsid w:val="0073158A"/>
    <w:rsid w:val="00732656"/>
    <w:rsid w:val="007328DC"/>
    <w:rsid w:val="00735081"/>
    <w:rsid w:val="007359AB"/>
    <w:rsid w:val="007373AE"/>
    <w:rsid w:val="0073766F"/>
    <w:rsid w:val="00740C17"/>
    <w:rsid w:val="00740D2E"/>
    <w:rsid w:val="00740FA1"/>
    <w:rsid w:val="007422D0"/>
    <w:rsid w:val="00742929"/>
    <w:rsid w:val="00744914"/>
    <w:rsid w:val="0074500A"/>
    <w:rsid w:val="007452B3"/>
    <w:rsid w:val="00745ED4"/>
    <w:rsid w:val="00746656"/>
    <w:rsid w:val="00746CD5"/>
    <w:rsid w:val="007470B3"/>
    <w:rsid w:val="007501EC"/>
    <w:rsid w:val="00751318"/>
    <w:rsid w:val="0075219D"/>
    <w:rsid w:val="00752AD4"/>
    <w:rsid w:val="00755399"/>
    <w:rsid w:val="007567C0"/>
    <w:rsid w:val="007625A2"/>
    <w:rsid w:val="00762DF4"/>
    <w:rsid w:val="007642DE"/>
    <w:rsid w:val="0076651E"/>
    <w:rsid w:val="0077179C"/>
    <w:rsid w:val="0077204D"/>
    <w:rsid w:val="00773540"/>
    <w:rsid w:val="0077554A"/>
    <w:rsid w:val="00775B5D"/>
    <w:rsid w:val="007775A3"/>
    <w:rsid w:val="007777F5"/>
    <w:rsid w:val="00777EBE"/>
    <w:rsid w:val="00780152"/>
    <w:rsid w:val="00780F5B"/>
    <w:rsid w:val="00781EDF"/>
    <w:rsid w:val="00782913"/>
    <w:rsid w:val="00783011"/>
    <w:rsid w:val="00783420"/>
    <w:rsid w:val="00783619"/>
    <w:rsid w:val="00783962"/>
    <w:rsid w:val="00783D21"/>
    <w:rsid w:val="0078451D"/>
    <w:rsid w:val="007850C1"/>
    <w:rsid w:val="0078589E"/>
    <w:rsid w:val="00785BDE"/>
    <w:rsid w:val="00786C81"/>
    <w:rsid w:val="00787600"/>
    <w:rsid w:val="007911E5"/>
    <w:rsid w:val="0079176F"/>
    <w:rsid w:val="00791B3F"/>
    <w:rsid w:val="007933C4"/>
    <w:rsid w:val="00794325"/>
    <w:rsid w:val="00795665"/>
    <w:rsid w:val="007971DD"/>
    <w:rsid w:val="0079722D"/>
    <w:rsid w:val="00797787"/>
    <w:rsid w:val="00797D8C"/>
    <w:rsid w:val="007A10BE"/>
    <w:rsid w:val="007A2302"/>
    <w:rsid w:val="007A35F3"/>
    <w:rsid w:val="007A3649"/>
    <w:rsid w:val="007A3940"/>
    <w:rsid w:val="007A39EA"/>
    <w:rsid w:val="007A47D5"/>
    <w:rsid w:val="007A4BF1"/>
    <w:rsid w:val="007A5DC9"/>
    <w:rsid w:val="007A5E3D"/>
    <w:rsid w:val="007A6ACB"/>
    <w:rsid w:val="007B0355"/>
    <w:rsid w:val="007B149B"/>
    <w:rsid w:val="007B1512"/>
    <w:rsid w:val="007B1C8D"/>
    <w:rsid w:val="007B3DC1"/>
    <w:rsid w:val="007B449E"/>
    <w:rsid w:val="007B44BA"/>
    <w:rsid w:val="007B44CF"/>
    <w:rsid w:val="007B4CA8"/>
    <w:rsid w:val="007B5122"/>
    <w:rsid w:val="007B68CE"/>
    <w:rsid w:val="007B7B9A"/>
    <w:rsid w:val="007C0863"/>
    <w:rsid w:val="007C1BB9"/>
    <w:rsid w:val="007C1E88"/>
    <w:rsid w:val="007C26F8"/>
    <w:rsid w:val="007C33B5"/>
    <w:rsid w:val="007C3724"/>
    <w:rsid w:val="007C462E"/>
    <w:rsid w:val="007C4815"/>
    <w:rsid w:val="007C4F08"/>
    <w:rsid w:val="007C5A33"/>
    <w:rsid w:val="007C6AEF"/>
    <w:rsid w:val="007C773C"/>
    <w:rsid w:val="007D0375"/>
    <w:rsid w:val="007D0871"/>
    <w:rsid w:val="007D0D01"/>
    <w:rsid w:val="007D0F51"/>
    <w:rsid w:val="007D1E8C"/>
    <w:rsid w:val="007D3BF4"/>
    <w:rsid w:val="007D42B1"/>
    <w:rsid w:val="007D4A4D"/>
    <w:rsid w:val="007D4A4F"/>
    <w:rsid w:val="007D5386"/>
    <w:rsid w:val="007D552D"/>
    <w:rsid w:val="007D585E"/>
    <w:rsid w:val="007D5EB5"/>
    <w:rsid w:val="007D658D"/>
    <w:rsid w:val="007D65EF"/>
    <w:rsid w:val="007D6620"/>
    <w:rsid w:val="007D738D"/>
    <w:rsid w:val="007D75E7"/>
    <w:rsid w:val="007E1677"/>
    <w:rsid w:val="007E376A"/>
    <w:rsid w:val="007E4802"/>
    <w:rsid w:val="007E4819"/>
    <w:rsid w:val="007E5F03"/>
    <w:rsid w:val="007E6474"/>
    <w:rsid w:val="007E69D3"/>
    <w:rsid w:val="007E6CFB"/>
    <w:rsid w:val="007F040C"/>
    <w:rsid w:val="007F1503"/>
    <w:rsid w:val="007F1954"/>
    <w:rsid w:val="007F2200"/>
    <w:rsid w:val="007F250C"/>
    <w:rsid w:val="007F4EC4"/>
    <w:rsid w:val="007F55CD"/>
    <w:rsid w:val="007F57F8"/>
    <w:rsid w:val="007F6BF1"/>
    <w:rsid w:val="007F78EE"/>
    <w:rsid w:val="00800068"/>
    <w:rsid w:val="00800637"/>
    <w:rsid w:val="00800D54"/>
    <w:rsid w:val="00800E45"/>
    <w:rsid w:val="0080125C"/>
    <w:rsid w:val="008022CB"/>
    <w:rsid w:val="00802D08"/>
    <w:rsid w:val="00803BDD"/>
    <w:rsid w:val="008046F4"/>
    <w:rsid w:val="0080776E"/>
    <w:rsid w:val="00810DED"/>
    <w:rsid w:val="00813D9B"/>
    <w:rsid w:val="0081630D"/>
    <w:rsid w:val="0081651C"/>
    <w:rsid w:val="00816B9A"/>
    <w:rsid w:val="00816D09"/>
    <w:rsid w:val="00816E97"/>
    <w:rsid w:val="008174BE"/>
    <w:rsid w:val="00817C93"/>
    <w:rsid w:val="00820661"/>
    <w:rsid w:val="00820CB2"/>
    <w:rsid w:val="008213AE"/>
    <w:rsid w:val="008218D1"/>
    <w:rsid w:val="0082210B"/>
    <w:rsid w:val="008225E1"/>
    <w:rsid w:val="00823A1F"/>
    <w:rsid w:val="008242E8"/>
    <w:rsid w:val="00824459"/>
    <w:rsid w:val="00824932"/>
    <w:rsid w:val="008256F9"/>
    <w:rsid w:val="00826A91"/>
    <w:rsid w:val="00826E01"/>
    <w:rsid w:val="008273BD"/>
    <w:rsid w:val="0082773C"/>
    <w:rsid w:val="00827ED7"/>
    <w:rsid w:val="0083024E"/>
    <w:rsid w:val="008323EC"/>
    <w:rsid w:val="008337AD"/>
    <w:rsid w:val="00835932"/>
    <w:rsid w:val="00836E12"/>
    <w:rsid w:val="008409A6"/>
    <w:rsid w:val="00841115"/>
    <w:rsid w:val="008413D6"/>
    <w:rsid w:val="0084272B"/>
    <w:rsid w:val="00843C71"/>
    <w:rsid w:val="008442BA"/>
    <w:rsid w:val="0084496A"/>
    <w:rsid w:val="00844C20"/>
    <w:rsid w:val="0084691E"/>
    <w:rsid w:val="00846966"/>
    <w:rsid w:val="00850632"/>
    <w:rsid w:val="00851A5B"/>
    <w:rsid w:val="008524B7"/>
    <w:rsid w:val="0085590B"/>
    <w:rsid w:val="00856970"/>
    <w:rsid w:val="00857988"/>
    <w:rsid w:val="008602B3"/>
    <w:rsid w:val="00861F29"/>
    <w:rsid w:val="008633FD"/>
    <w:rsid w:val="00864218"/>
    <w:rsid w:val="00864C06"/>
    <w:rsid w:val="0086505D"/>
    <w:rsid w:val="008658A4"/>
    <w:rsid w:val="008659B8"/>
    <w:rsid w:val="00865B5C"/>
    <w:rsid w:val="00867151"/>
    <w:rsid w:val="008671BB"/>
    <w:rsid w:val="00867E09"/>
    <w:rsid w:val="00871128"/>
    <w:rsid w:val="00872F3A"/>
    <w:rsid w:val="008737AF"/>
    <w:rsid w:val="008740D3"/>
    <w:rsid w:val="00874620"/>
    <w:rsid w:val="00874AFC"/>
    <w:rsid w:val="00875AAA"/>
    <w:rsid w:val="008763CC"/>
    <w:rsid w:val="00876559"/>
    <w:rsid w:val="00880F01"/>
    <w:rsid w:val="0088147B"/>
    <w:rsid w:val="0088150C"/>
    <w:rsid w:val="008834F0"/>
    <w:rsid w:val="00883CAE"/>
    <w:rsid w:val="00884972"/>
    <w:rsid w:val="00884A49"/>
    <w:rsid w:val="00884C93"/>
    <w:rsid w:val="00885761"/>
    <w:rsid w:val="0088688B"/>
    <w:rsid w:val="00886CCC"/>
    <w:rsid w:val="00890345"/>
    <w:rsid w:val="00891858"/>
    <w:rsid w:val="00891D8A"/>
    <w:rsid w:val="00892A06"/>
    <w:rsid w:val="008945A4"/>
    <w:rsid w:val="00896AF0"/>
    <w:rsid w:val="00896E8E"/>
    <w:rsid w:val="008971FD"/>
    <w:rsid w:val="008972B5"/>
    <w:rsid w:val="008A2428"/>
    <w:rsid w:val="008A45AA"/>
    <w:rsid w:val="008A4D98"/>
    <w:rsid w:val="008A516E"/>
    <w:rsid w:val="008A5CF7"/>
    <w:rsid w:val="008A6DC3"/>
    <w:rsid w:val="008B1795"/>
    <w:rsid w:val="008B2B43"/>
    <w:rsid w:val="008B326C"/>
    <w:rsid w:val="008B4E14"/>
    <w:rsid w:val="008B569E"/>
    <w:rsid w:val="008B5DB8"/>
    <w:rsid w:val="008B6DA5"/>
    <w:rsid w:val="008B6FBD"/>
    <w:rsid w:val="008B7076"/>
    <w:rsid w:val="008B7446"/>
    <w:rsid w:val="008C19AC"/>
    <w:rsid w:val="008C2E33"/>
    <w:rsid w:val="008C403B"/>
    <w:rsid w:val="008C4B40"/>
    <w:rsid w:val="008C6102"/>
    <w:rsid w:val="008C633E"/>
    <w:rsid w:val="008C6556"/>
    <w:rsid w:val="008C6615"/>
    <w:rsid w:val="008C6CF4"/>
    <w:rsid w:val="008C7F60"/>
    <w:rsid w:val="008D22A6"/>
    <w:rsid w:val="008D399A"/>
    <w:rsid w:val="008D3EBD"/>
    <w:rsid w:val="008D4B78"/>
    <w:rsid w:val="008D56E5"/>
    <w:rsid w:val="008E05FA"/>
    <w:rsid w:val="008E08D4"/>
    <w:rsid w:val="008E170B"/>
    <w:rsid w:val="008E1B40"/>
    <w:rsid w:val="008E3D67"/>
    <w:rsid w:val="008E3E62"/>
    <w:rsid w:val="008E52DD"/>
    <w:rsid w:val="008E6622"/>
    <w:rsid w:val="008E6C3E"/>
    <w:rsid w:val="008E6D49"/>
    <w:rsid w:val="008E6DD1"/>
    <w:rsid w:val="008F1923"/>
    <w:rsid w:val="008F1CC2"/>
    <w:rsid w:val="008F1D94"/>
    <w:rsid w:val="008F1F47"/>
    <w:rsid w:val="008F1FBD"/>
    <w:rsid w:val="008F2BCF"/>
    <w:rsid w:val="008F3424"/>
    <w:rsid w:val="008F3479"/>
    <w:rsid w:val="008F3FDD"/>
    <w:rsid w:val="008F4BBB"/>
    <w:rsid w:val="008F4BD6"/>
    <w:rsid w:val="008F5279"/>
    <w:rsid w:val="008F6ED2"/>
    <w:rsid w:val="008F7A5C"/>
    <w:rsid w:val="00902667"/>
    <w:rsid w:val="00903E2C"/>
    <w:rsid w:val="00905DB7"/>
    <w:rsid w:val="009067B8"/>
    <w:rsid w:val="00906C3C"/>
    <w:rsid w:val="00906EBB"/>
    <w:rsid w:val="00906FDB"/>
    <w:rsid w:val="009070AB"/>
    <w:rsid w:val="00907EDB"/>
    <w:rsid w:val="00911ED0"/>
    <w:rsid w:val="00913A5E"/>
    <w:rsid w:val="0091568B"/>
    <w:rsid w:val="00916349"/>
    <w:rsid w:val="009170B0"/>
    <w:rsid w:val="00917B53"/>
    <w:rsid w:val="009203D0"/>
    <w:rsid w:val="00921003"/>
    <w:rsid w:val="00922200"/>
    <w:rsid w:val="009223D4"/>
    <w:rsid w:val="009228C3"/>
    <w:rsid w:val="00922AAD"/>
    <w:rsid w:val="009233D6"/>
    <w:rsid w:val="00924C88"/>
    <w:rsid w:val="00924F3A"/>
    <w:rsid w:val="00926809"/>
    <w:rsid w:val="00926B24"/>
    <w:rsid w:val="00926BB8"/>
    <w:rsid w:val="00927C02"/>
    <w:rsid w:val="00930403"/>
    <w:rsid w:val="009312F0"/>
    <w:rsid w:val="009339ED"/>
    <w:rsid w:val="00934D89"/>
    <w:rsid w:val="00934ED0"/>
    <w:rsid w:val="0093514F"/>
    <w:rsid w:val="0093574A"/>
    <w:rsid w:val="0093608D"/>
    <w:rsid w:val="00936102"/>
    <w:rsid w:val="009366A4"/>
    <w:rsid w:val="00937F4E"/>
    <w:rsid w:val="009401E0"/>
    <w:rsid w:val="00940517"/>
    <w:rsid w:val="0094169C"/>
    <w:rsid w:val="009424A7"/>
    <w:rsid w:val="00943F56"/>
    <w:rsid w:val="00944876"/>
    <w:rsid w:val="00944C45"/>
    <w:rsid w:val="009451D0"/>
    <w:rsid w:val="00945263"/>
    <w:rsid w:val="009458FF"/>
    <w:rsid w:val="00946CAB"/>
    <w:rsid w:val="00946E61"/>
    <w:rsid w:val="00947154"/>
    <w:rsid w:val="00950980"/>
    <w:rsid w:val="009534CE"/>
    <w:rsid w:val="00953704"/>
    <w:rsid w:val="00955366"/>
    <w:rsid w:val="00955C8E"/>
    <w:rsid w:val="00957B0D"/>
    <w:rsid w:val="00960939"/>
    <w:rsid w:val="00960A42"/>
    <w:rsid w:val="00961F96"/>
    <w:rsid w:val="0096395D"/>
    <w:rsid w:val="0096396B"/>
    <w:rsid w:val="009640E2"/>
    <w:rsid w:val="009645D2"/>
    <w:rsid w:val="009655C6"/>
    <w:rsid w:val="00966974"/>
    <w:rsid w:val="00970193"/>
    <w:rsid w:val="009719B6"/>
    <w:rsid w:val="00971DF9"/>
    <w:rsid w:val="00972023"/>
    <w:rsid w:val="0097240B"/>
    <w:rsid w:val="009749A2"/>
    <w:rsid w:val="00974B08"/>
    <w:rsid w:val="0097532B"/>
    <w:rsid w:val="009762D1"/>
    <w:rsid w:val="00976E29"/>
    <w:rsid w:val="00977F90"/>
    <w:rsid w:val="009820B3"/>
    <w:rsid w:val="009824A3"/>
    <w:rsid w:val="00983A94"/>
    <w:rsid w:val="00984432"/>
    <w:rsid w:val="00984B7D"/>
    <w:rsid w:val="00984D34"/>
    <w:rsid w:val="009855B9"/>
    <w:rsid w:val="00985816"/>
    <w:rsid w:val="00987140"/>
    <w:rsid w:val="00987517"/>
    <w:rsid w:val="0099121D"/>
    <w:rsid w:val="00991ADE"/>
    <w:rsid w:val="00991C1D"/>
    <w:rsid w:val="009928BD"/>
    <w:rsid w:val="00993983"/>
    <w:rsid w:val="00993B56"/>
    <w:rsid w:val="00993B9A"/>
    <w:rsid w:val="00994DF4"/>
    <w:rsid w:val="00995C15"/>
    <w:rsid w:val="009972A0"/>
    <w:rsid w:val="00997B90"/>
    <w:rsid w:val="00997DE7"/>
    <w:rsid w:val="009A114B"/>
    <w:rsid w:val="009A220E"/>
    <w:rsid w:val="009A324D"/>
    <w:rsid w:val="009A41B9"/>
    <w:rsid w:val="009A42E5"/>
    <w:rsid w:val="009A47B0"/>
    <w:rsid w:val="009A5593"/>
    <w:rsid w:val="009A57CD"/>
    <w:rsid w:val="009A66FA"/>
    <w:rsid w:val="009A7C44"/>
    <w:rsid w:val="009A7F8D"/>
    <w:rsid w:val="009B07BF"/>
    <w:rsid w:val="009B1611"/>
    <w:rsid w:val="009B206A"/>
    <w:rsid w:val="009B231F"/>
    <w:rsid w:val="009B3223"/>
    <w:rsid w:val="009B34ED"/>
    <w:rsid w:val="009B42ED"/>
    <w:rsid w:val="009B5B11"/>
    <w:rsid w:val="009C0357"/>
    <w:rsid w:val="009C039E"/>
    <w:rsid w:val="009C06CD"/>
    <w:rsid w:val="009C0F9F"/>
    <w:rsid w:val="009C111B"/>
    <w:rsid w:val="009C1494"/>
    <w:rsid w:val="009C42F2"/>
    <w:rsid w:val="009C5A49"/>
    <w:rsid w:val="009C5C7C"/>
    <w:rsid w:val="009D14E2"/>
    <w:rsid w:val="009D1C9D"/>
    <w:rsid w:val="009D29DE"/>
    <w:rsid w:val="009D2CCF"/>
    <w:rsid w:val="009D4ED0"/>
    <w:rsid w:val="009D520E"/>
    <w:rsid w:val="009D54BD"/>
    <w:rsid w:val="009D66D3"/>
    <w:rsid w:val="009D6715"/>
    <w:rsid w:val="009D6C9B"/>
    <w:rsid w:val="009E0401"/>
    <w:rsid w:val="009E0C07"/>
    <w:rsid w:val="009E0E89"/>
    <w:rsid w:val="009E1D21"/>
    <w:rsid w:val="009E206F"/>
    <w:rsid w:val="009E2F0D"/>
    <w:rsid w:val="009E3CA9"/>
    <w:rsid w:val="009E444E"/>
    <w:rsid w:val="009E523C"/>
    <w:rsid w:val="009E58DB"/>
    <w:rsid w:val="009E62F0"/>
    <w:rsid w:val="009E67EC"/>
    <w:rsid w:val="009E6D7B"/>
    <w:rsid w:val="009E744E"/>
    <w:rsid w:val="009E74CF"/>
    <w:rsid w:val="009F14D1"/>
    <w:rsid w:val="009F2027"/>
    <w:rsid w:val="009F3071"/>
    <w:rsid w:val="009F4DCF"/>
    <w:rsid w:val="009F53AD"/>
    <w:rsid w:val="009F5EC1"/>
    <w:rsid w:val="009F652F"/>
    <w:rsid w:val="009F7163"/>
    <w:rsid w:val="00A0017E"/>
    <w:rsid w:val="00A001F8"/>
    <w:rsid w:val="00A00B7A"/>
    <w:rsid w:val="00A0133D"/>
    <w:rsid w:val="00A01F80"/>
    <w:rsid w:val="00A02B90"/>
    <w:rsid w:val="00A02DA5"/>
    <w:rsid w:val="00A056F2"/>
    <w:rsid w:val="00A06EFC"/>
    <w:rsid w:val="00A070C6"/>
    <w:rsid w:val="00A1137C"/>
    <w:rsid w:val="00A126F9"/>
    <w:rsid w:val="00A14E97"/>
    <w:rsid w:val="00A17B5C"/>
    <w:rsid w:val="00A216F7"/>
    <w:rsid w:val="00A21F0F"/>
    <w:rsid w:val="00A2287F"/>
    <w:rsid w:val="00A23F70"/>
    <w:rsid w:val="00A245DB"/>
    <w:rsid w:val="00A246EA"/>
    <w:rsid w:val="00A25BC7"/>
    <w:rsid w:val="00A27316"/>
    <w:rsid w:val="00A27C43"/>
    <w:rsid w:val="00A3057B"/>
    <w:rsid w:val="00A30924"/>
    <w:rsid w:val="00A30DB5"/>
    <w:rsid w:val="00A31492"/>
    <w:rsid w:val="00A3174C"/>
    <w:rsid w:val="00A3217E"/>
    <w:rsid w:val="00A32524"/>
    <w:rsid w:val="00A3284F"/>
    <w:rsid w:val="00A33DCF"/>
    <w:rsid w:val="00A33FE7"/>
    <w:rsid w:val="00A35239"/>
    <w:rsid w:val="00A35946"/>
    <w:rsid w:val="00A35A4A"/>
    <w:rsid w:val="00A376BC"/>
    <w:rsid w:val="00A37A69"/>
    <w:rsid w:val="00A37D23"/>
    <w:rsid w:val="00A401ED"/>
    <w:rsid w:val="00A40466"/>
    <w:rsid w:val="00A41222"/>
    <w:rsid w:val="00A41BBC"/>
    <w:rsid w:val="00A42157"/>
    <w:rsid w:val="00A43F51"/>
    <w:rsid w:val="00A44379"/>
    <w:rsid w:val="00A46D72"/>
    <w:rsid w:val="00A47BCE"/>
    <w:rsid w:val="00A50D77"/>
    <w:rsid w:val="00A50DB1"/>
    <w:rsid w:val="00A51B07"/>
    <w:rsid w:val="00A528B2"/>
    <w:rsid w:val="00A530DE"/>
    <w:rsid w:val="00A54630"/>
    <w:rsid w:val="00A547C2"/>
    <w:rsid w:val="00A54D88"/>
    <w:rsid w:val="00A55245"/>
    <w:rsid w:val="00A557DB"/>
    <w:rsid w:val="00A616BE"/>
    <w:rsid w:val="00A61788"/>
    <w:rsid w:val="00A62201"/>
    <w:rsid w:val="00A63B81"/>
    <w:rsid w:val="00A63E74"/>
    <w:rsid w:val="00A64494"/>
    <w:rsid w:val="00A6493F"/>
    <w:rsid w:val="00A655DF"/>
    <w:rsid w:val="00A6572F"/>
    <w:rsid w:val="00A66F7C"/>
    <w:rsid w:val="00A70812"/>
    <w:rsid w:val="00A71016"/>
    <w:rsid w:val="00A714C5"/>
    <w:rsid w:val="00A71856"/>
    <w:rsid w:val="00A72AC4"/>
    <w:rsid w:val="00A73E1F"/>
    <w:rsid w:val="00A74C80"/>
    <w:rsid w:val="00A753EC"/>
    <w:rsid w:val="00A77854"/>
    <w:rsid w:val="00A77FD4"/>
    <w:rsid w:val="00A8042C"/>
    <w:rsid w:val="00A8206A"/>
    <w:rsid w:val="00A83764"/>
    <w:rsid w:val="00A83BCF"/>
    <w:rsid w:val="00A85200"/>
    <w:rsid w:val="00A85C40"/>
    <w:rsid w:val="00A87365"/>
    <w:rsid w:val="00A8793E"/>
    <w:rsid w:val="00A90524"/>
    <w:rsid w:val="00A91245"/>
    <w:rsid w:val="00A92133"/>
    <w:rsid w:val="00A92134"/>
    <w:rsid w:val="00A92365"/>
    <w:rsid w:val="00A939FC"/>
    <w:rsid w:val="00A93B19"/>
    <w:rsid w:val="00A93B1E"/>
    <w:rsid w:val="00A9441D"/>
    <w:rsid w:val="00A949FF"/>
    <w:rsid w:val="00A94AC3"/>
    <w:rsid w:val="00A94CD1"/>
    <w:rsid w:val="00A96168"/>
    <w:rsid w:val="00A96E82"/>
    <w:rsid w:val="00A97AC8"/>
    <w:rsid w:val="00AA011D"/>
    <w:rsid w:val="00AA06F8"/>
    <w:rsid w:val="00AA18DD"/>
    <w:rsid w:val="00AA1BEF"/>
    <w:rsid w:val="00AA262B"/>
    <w:rsid w:val="00AA2EE8"/>
    <w:rsid w:val="00AA6723"/>
    <w:rsid w:val="00AB0041"/>
    <w:rsid w:val="00AB042C"/>
    <w:rsid w:val="00AB0C09"/>
    <w:rsid w:val="00AB2C64"/>
    <w:rsid w:val="00AB33DF"/>
    <w:rsid w:val="00AB49C9"/>
    <w:rsid w:val="00AB5B22"/>
    <w:rsid w:val="00AB7244"/>
    <w:rsid w:val="00AC07F6"/>
    <w:rsid w:val="00AC1786"/>
    <w:rsid w:val="00AC205F"/>
    <w:rsid w:val="00AC238E"/>
    <w:rsid w:val="00AC2849"/>
    <w:rsid w:val="00AC2A74"/>
    <w:rsid w:val="00AC2D2C"/>
    <w:rsid w:val="00AC44DF"/>
    <w:rsid w:val="00AC4D1E"/>
    <w:rsid w:val="00AC54B4"/>
    <w:rsid w:val="00AC585A"/>
    <w:rsid w:val="00AC5EEB"/>
    <w:rsid w:val="00AD051F"/>
    <w:rsid w:val="00AD0D6E"/>
    <w:rsid w:val="00AD2798"/>
    <w:rsid w:val="00AD2868"/>
    <w:rsid w:val="00AD3D49"/>
    <w:rsid w:val="00AD4629"/>
    <w:rsid w:val="00AD5212"/>
    <w:rsid w:val="00AD7294"/>
    <w:rsid w:val="00AD7523"/>
    <w:rsid w:val="00AE0F7D"/>
    <w:rsid w:val="00AE24B9"/>
    <w:rsid w:val="00AE29F8"/>
    <w:rsid w:val="00AE2BFF"/>
    <w:rsid w:val="00AE3607"/>
    <w:rsid w:val="00AE36A9"/>
    <w:rsid w:val="00AE4022"/>
    <w:rsid w:val="00AE405C"/>
    <w:rsid w:val="00AE4BBB"/>
    <w:rsid w:val="00AE6CA9"/>
    <w:rsid w:val="00AE6D14"/>
    <w:rsid w:val="00AE70E8"/>
    <w:rsid w:val="00AF0F20"/>
    <w:rsid w:val="00AF16CF"/>
    <w:rsid w:val="00AF176C"/>
    <w:rsid w:val="00AF4CC6"/>
    <w:rsid w:val="00AF4D85"/>
    <w:rsid w:val="00AF55F6"/>
    <w:rsid w:val="00AF624A"/>
    <w:rsid w:val="00AF68BB"/>
    <w:rsid w:val="00AF7480"/>
    <w:rsid w:val="00B0098C"/>
    <w:rsid w:val="00B01D64"/>
    <w:rsid w:val="00B028EE"/>
    <w:rsid w:val="00B02E8E"/>
    <w:rsid w:val="00B03301"/>
    <w:rsid w:val="00B04B55"/>
    <w:rsid w:val="00B05E44"/>
    <w:rsid w:val="00B06C77"/>
    <w:rsid w:val="00B0710C"/>
    <w:rsid w:val="00B074C9"/>
    <w:rsid w:val="00B07D77"/>
    <w:rsid w:val="00B13199"/>
    <w:rsid w:val="00B13E14"/>
    <w:rsid w:val="00B14382"/>
    <w:rsid w:val="00B14414"/>
    <w:rsid w:val="00B17042"/>
    <w:rsid w:val="00B170D7"/>
    <w:rsid w:val="00B176FC"/>
    <w:rsid w:val="00B20A94"/>
    <w:rsid w:val="00B218FF"/>
    <w:rsid w:val="00B21D94"/>
    <w:rsid w:val="00B22689"/>
    <w:rsid w:val="00B233A4"/>
    <w:rsid w:val="00B23BA3"/>
    <w:rsid w:val="00B24270"/>
    <w:rsid w:val="00B252A4"/>
    <w:rsid w:val="00B25CFD"/>
    <w:rsid w:val="00B25E52"/>
    <w:rsid w:val="00B2614C"/>
    <w:rsid w:val="00B271FB"/>
    <w:rsid w:val="00B30074"/>
    <w:rsid w:val="00B3015D"/>
    <w:rsid w:val="00B31252"/>
    <w:rsid w:val="00B32004"/>
    <w:rsid w:val="00B34033"/>
    <w:rsid w:val="00B340A6"/>
    <w:rsid w:val="00B35B1C"/>
    <w:rsid w:val="00B3641B"/>
    <w:rsid w:val="00B3655B"/>
    <w:rsid w:val="00B37830"/>
    <w:rsid w:val="00B400BE"/>
    <w:rsid w:val="00B40E64"/>
    <w:rsid w:val="00B40F60"/>
    <w:rsid w:val="00B41279"/>
    <w:rsid w:val="00B413FD"/>
    <w:rsid w:val="00B41B30"/>
    <w:rsid w:val="00B43848"/>
    <w:rsid w:val="00B43EF7"/>
    <w:rsid w:val="00B44C98"/>
    <w:rsid w:val="00B44F51"/>
    <w:rsid w:val="00B46E84"/>
    <w:rsid w:val="00B46FCC"/>
    <w:rsid w:val="00B47257"/>
    <w:rsid w:val="00B47689"/>
    <w:rsid w:val="00B47866"/>
    <w:rsid w:val="00B506A5"/>
    <w:rsid w:val="00B50AB9"/>
    <w:rsid w:val="00B52B6F"/>
    <w:rsid w:val="00B53359"/>
    <w:rsid w:val="00B54D59"/>
    <w:rsid w:val="00B55778"/>
    <w:rsid w:val="00B55AD1"/>
    <w:rsid w:val="00B602AE"/>
    <w:rsid w:val="00B60C7D"/>
    <w:rsid w:val="00B61533"/>
    <w:rsid w:val="00B61896"/>
    <w:rsid w:val="00B6206A"/>
    <w:rsid w:val="00B6410A"/>
    <w:rsid w:val="00B672C6"/>
    <w:rsid w:val="00B70ED6"/>
    <w:rsid w:val="00B729A5"/>
    <w:rsid w:val="00B74025"/>
    <w:rsid w:val="00B74CD2"/>
    <w:rsid w:val="00B75E3D"/>
    <w:rsid w:val="00B76720"/>
    <w:rsid w:val="00B770D9"/>
    <w:rsid w:val="00B771D4"/>
    <w:rsid w:val="00B7720A"/>
    <w:rsid w:val="00B77D45"/>
    <w:rsid w:val="00B80C05"/>
    <w:rsid w:val="00B80C5D"/>
    <w:rsid w:val="00B813E3"/>
    <w:rsid w:val="00B8248F"/>
    <w:rsid w:val="00B82ADA"/>
    <w:rsid w:val="00B84BB2"/>
    <w:rsid w:val="00B850EE"/>
    <w:rsid w:val="00B906E5"/>
    <w:rsid w:val="00B90BB9"/>
    <w:rsid w:val="00B94492"/>
    <w:rsid w:val="00B94569"/>
    <w:rsid w:val="00B95D15"/>
    <w:rsid w:val="00B95E60"/>
    <w:rsid w:val="00B9650D"/>
    <w:rsid w:val="00B96736"/>
    <w:rsid w:val="00B97148"/>
    <w:rsid w:val="00BA072A"/>
    <w:rsid w:val="00BA0DE3"/>
    <w:rsid w:val="00BA147B"/>
    <w:rsid w:val="00BA2059"/>
    <w:rsid w:val="00BA215B"/>
    <w:rsid w:val="00BA2295"/>
    <w:rsid w:val="00BA2745"/>
    <w:rsid w:val="00BA2BB8"/>
    <w:rsid w:val="00BA311D"/>
    <w:rsid w:val="00BA5019"/>
    <w:rsid w:val="00BA505C"/>
    <w:rsid w:val="00BA5688"/>
    <w:rsid w:val="00BA6EE8"/>
    <w:rsid w:val="00BB1A60"/>
    <w:rsid w:val="00BB1B6A"/>
    <w:rsid w:val="00BB1CEE"/>
    <w:rsid w:val="00BB1E21"/>
    <w:rsid w:val="00BB1EC6"/>
    <w:rsid w:val="00BB2CE6"/>
    <w:rsid w:val="00BB312E"/>
    <w:rsid w:val="00BB3274"/>
    <w:rsid w:val="00BB4A37"/>
    <w:rsid w:val="00BB6311"/>
    <w:rsid w:val="00BC0456"/>
    <w:rsid w:val="00BC0F39"/>
    <w:rsid w:val="00BC2C77"/>
    <w:rsid w:val="00BC2E7C"/>
    <w:rsid w:val="00BC33C7"/>
    <w:rsid w:val="00BC34E3"/>
    <w:rsid w:val="00BC34ED"/>
    <w:rsid w:val="00BC38E6"/>
    <w:rsid w:val="00BC3CFE"/>
    <w:rsid w:val="00BC3F09"/>
    <w:rsid w:val="00BC5F78"/>
    <w:rsid w:val="00BC6032"/>
    <w:rsid w:val="00BC6506"/>
    <w:rsid w:val="00BC7C1C"/>
    <w:rsid w:val="00BD0003"/>
    <w:rsid w:val="00BD056D"/>
    <w:rsid w:val="00BD0E9E"/>
    <w:rsid w:val="00BD14E2"/>
    <w:rsid w:val="00BD158C"/>
    <w:rsid w:val="00BD23BC"/>
    <w:rsid w:val="00BD38BC"/>
    <w:rsid w:val="00BD394B"/>
    <w:rsid w:val="00BD3CAC"/>
    <w:rsid w:val="00BD40BD"/>
    <w:rsid w:val="00BD5B74"/>
    <w:rsid w:val="00BD6122"/>
    <w:rsid w:val="00BD655F"/>
    <w:rsid w:val="00BD74A8"/>
    <w:rsid w:val="00BE1221"/>
    <w:rsid w:val="00BE2291"/>
    <w:rsid w:val="00BE3098"/>
    <w:rsid w:val="00BE4355"/>
    <w:rsid w:val="00BE48C0"/>
    <w:rsid w:val="00BE4E25"/>
    <w:rsid w:val="00BE58BC"/>
    <w:rsid w:val="00BE661E"/>
    <w:rsid w:val="00BE6D30"/>
    <w:rsid w:val="00BE6D9A"/>
    <w:rsid w:val="00BE7241"/>
    <w:rsid w:val="00BE7278"/>
    <w:rsid w:val="00BE73C8"/>
    <w:rsid w:val="00BF207B"/>
    <w:rsid w:val="00BF215A"/>
    <w:rsid w:val="00BF28CA"/>
    <w:rsid w:val="00BF30E5"/>
    <w:rsid w:val="00BF31C6"/>
    <w:rsid w:val="00BF334D"/>
    <w:rsid w:val="00BF37DD"/>
    <w:rsid w:val="00BF3BBC"/>
    <w:rsid w:val="00BF4861"/>
    <w:rsid w:val="00BF4865"/>
    <w:rsid w:val="00BF48D2"/>
    <w:rsid w:val="00BF52ED"/>
    <w:rsid w:val="00BF56BC"/>
    <w:rsid w:val="00BF57DC"/>
    <w:rsid w:val="00BF5A78"/>
    <w:rsid w:val="00BF5E9E"/>
    <w:rsid w:val="00BF68FA"/>
    <w:rsid w:val="00BF7112"/>
    <w:rsid w:val="00C00F87"/>
    <w:rsid w:val="00C017D9"/>
    <w:rsid w:val="00C04C6D"/>
    <w:rsid w:val="00C0507B"/>
    <w:rsid w:val="00C05692"/>
    <w:rsid w:val="00C06650"/>
    <w:rsid w:val="00C0670A"/>
    <w:rsid w:val="00C104D8"/>
    <w:rsid w:val="00C104F3"/>
    <w:rsid w:val="00C106B1"/>
    <w:rsid w:val="00C10A21"/>
    <w:rsid w:val="00C11091"/>
    <w:rsid w:val="00C11165"/>
    <w:rsid w:val="00C14BAC"/>
    <w:rsid w:val="00C1717F"/>
    <w:rsid w:val="00C2003F"/>
    <w:rsid w:val="00C20267"/>
    <w:rsid w:val="00C206C3"/>
    <w:rsid w:val="00C20EB2"/>
    <w:rsid w:val="00C22830"/>
    <w:rsid w:val="00C2301E"/>
    <w:rsid w:val="00C230C7"/>
    <w:rsid w:val="00C247FB"/>
    <w:rsid w:val="00C255B8"/>
    <w:rsid w:val="00C26A15"/>
    <w:rsid w:val="00C2733C"/>
    <w:rsid w:val="00C275AF"/>
    <w:rsid w:val="00C34CCE"/>
    <w:rsid w:val="00C35236"/>
    <w:rsid w:val="00C36929"/>
    <w:rsid w:val="00C37578"/>
    <w:rsid w:val="00C40768"/>
    <w:rsid w:val="00C411EC"/>
    <w:rsid w:val="00C4123E"/>
    <w:rsid w:val="00C41F85"/>
    <w:rsid w:val="00C43D5D"/>
    <w:rsid w:val="00C44177"/>
    <w:rsid w:val="00C44418"/>
    <w:rsid w:val="00C44C73"/>
    <w:rsid w:val="00C457B9"/>
    <w:rsid w:val="00C462CD"/>
    <w:rsid w:val="00C4717D"/>
    <w:rsid w:val="00C4722E"/>
    <w:rsid w:val="00C51393"/>
    <w:rsid w:val="00C51960"/>
    <w:rsid w:val="00C5229A"/>
    <w:rsid w:val="00C52879"/>
    <w:rsid w:val="00C52974"/>
    <w:rsid w:val="00C5635A"/>
    <w:rsid w:val="00C613A9"/>
    <w:rsid w:val="00C61645"/>
    <w:rsid w:val="00C61B12"/>
    <w:rsid w:val="00C634F6"/>
    <w:rsid w:val="00C63A4F"/>
    <w:rsid w:val="00C6514A"/>
    <w:rsid w:val="00C65DAB"/>
    <w:rsid w:val="00C6617F"/>
    <w:rsid w:val="00C67225"/>
    <w:rsid w:val="00C70A2D"/>
    <w:rsid w:val="00C71453"/>
    <w:rsid w:val="00C718C6"/>
    <w:rsid w:val="00C72DFE"/>
    <w:rsid w:val="00C7401E"/>
    <w:rsid w:val="00C7505F"/>
    <w:rsid w:val="00C75429"/>
    <w:rsid w:val="00C763FD"/>
    <w:rsid w:val="00C764A2"/>
    <w:rsid w:val="00C80847"/>
    <w:rsid w:val="00C822B0"/>
    <w:rsid w:val="00C825AB"/>
    <w:rsid w:val="00C82A13"/>
    <w:rsid w:val="00C846AA"/>
    <w:rsid w:val="00C855BA"/>
    <w:rsid w:val="00C85843"/>
    <w:rsid w:val="00C86F93"/>
    <w:rsid w:val="00C8730E"/>
    <w:rsid w:val="00C901BC"/>
    <w:rsid w:val="00C904A3"/>
    <w:rsid w:val="00C90A40"/>
    <w:rsid w:val="00C913A0"/>
    <w:rsid w:val="00C9148F"/>
    <w:rsid w:val="00C916E4"/>
    <w:rsid w:val="00C91A27"/>
    <w:rsid w:val="00C92D5F"/>
    <w:rsid w:val="00C93644"/>
    <w:rsid w:val="00C93C2A"/>
    <w:rsid w:val="00C94623"/>
    <w:rsid w:val="00C94925"/>
    <w:rsid w:val="00C954C9"/>
    <w:rsid w:val="00C9678E"/>
    <w:rsid w:val="00C9734C"/>
    <w:rsid w:val="00C97C3A"/>
    <w:rsid w:val="00CA0068"/>
    <w:rsid w:val="00CA22C0"/>
    <w:rsid w:val="00CA2E3A"/>
    <w:rsid w:val="00CA2F80"/>
    <w:rsid w:val="00CA4202"/>
    <w:rsid w:val="00CA483C"/>
    <w:rsid w:val="00CA590C"/>
    <w:rsid w:val="00CA5D8E"/>
    <w:rsid w:val="00CA7C1F"/>
    <w:rsid w:val="00CB0D75"/>
    <w:rsid w:val="00CB27E0"/>
    <w:rsid w:val="00CB3BEF"/>
    <w:rsid w:val="00CB401E"/>
    <w:rsid w:val="00CB424A"/>
    <w:rsid w:val="00CB4484"/>
    <w:rsid w:val="00CB508B"/>
    <w:rsid w:val="00CB536D"/>
    <w:rsid w:val="00CB5E68"/>
    <w:rsid w:val="00CB61A9"/>
    <w:rsid w:val="00CB633E"/>
    <w:rsid w:val="00CB66BA"/>
    <w:rsid w:val="00CC00DD"/>
    <w:rsid w:val="00CC1419"/>
    <w:rsid w:val="00CC143C"/>
    <w:rsid w:val="00CC1BA3"/>
    <w:rsid w:val="00CC234B"/>
    <w:rsid w:val="00CC30F5"/>
    <w:rsid w:val="00CC4300"/>
    <w:rsid w:val="00CC73B7"/>
    <w:rsid w:val="00CD00AD"/>
    <w:rsid w:val="00CD0DE1"/>
    <w:rsid w:val="00CD1C93"/>
    <w:rsid w:val="00CD326A"/>
    <w:rsid w:val="00CD3DDB"/>
    <w:rsid w:val="00CD43DA"/>
    <w:rsid w:val="00CD5003"/>
    <w:rsid w:val="00CD61D1"/>
    <w:rsid w:val="00CD6B14"/>
    <w:rsid w:val="00CD7A22"/>
    <w:rsid w:val="00CE0931"/>
    <w:rsid w:val="00CE0C27"/>
    <w:rsid w:val="00CE1DF3"/>
    <w:rsid w:val="00CE33AF"/>
    <w:rsid w:val="00CE4FCD"/>
    <w:rsid w:val="00CE58DE"/>
    <w:rsid w:val="00CE5A8E"/>
    <w:rsid w:val="00CE6233"/>
    <w:rsid w:val="00CE6772"/>
    <w:rsid w:val="00CE7781"/>
    <w:rsid w:val="00CE7945"/>
    <w:rsid w:val="00CE7EC3"/>
    <w:rsid w:val="00CF0087"/>
    <w:rsid w:val="00CF0915"/>
    <w:rsid w:val="00CF10C3"/>
    <w:rsid w:val="00CF3528"/>
    <w:rsid w:val="00CF4B48"/>
    <w:rsid w:val="00CF522B"/>
    <w:rsid w:val="00CF67EC"/>
    <w:rsid w:val="00CF68E4"/>
    <w:rsid w:val="00CF7043"/>
    <w:rsid w:val="00CF7336"/>
    <w:rsid w:val="00CF788A"/>
    <w:rsid w:val="00D00D3C"/>
    <w:rsid w:val="00D0128B"/>
    <w:rsid w:val="00D013AB"/>
    <w:rsid w:val="00D018DE"/>
    <w:rsid w:val="00D03893"/>
    <w:rsid w:val="00D04FF0"/>
    <w:rsid w:val="00D102E5"/>
    <w:rsid w:val="00D109ED"/>
    <w:rsid w:val="00D11269"/>
    <w:rsid w:val="00D11A1E"/>
    <w:rsid w:val="00D121C9"/>
    <w:rsid w:val="00D12214"/>
    <w:rsid w:val="00D14892"/>
    <w:rsid w:val="00D14EA3"/>
    <w:rsid w:val="00D1662A"/>
    <w:rsid w:val="00D17386"/>
    <w:rsid w:val="00D20108"/>
    <w:rsid w:val="00D214E3"/>
    <w:rsid w:val="00D22436"/>
    <w:rsid w:val="00D2466A"/>
    <w:rsid w:val="00D24A6F"/>
    <w:rsid w:val="00D2535A"/>
    <w:rsid w:val="00D257BE"/>
    <w:rsid w:val="00D26889"/>
    <w:rsid w:val="00D30E21"/>
    <w:rsid w:val="00D30FD8"/>
    <w:rsid w:val="00D31E37"/>
    <w:rsid w:val="00D33328"/>
    <w:rsid w:val="00D34248"/>
    <w:rsid w:val="00D34992"/>
    <w:rsid w:val="00D3768D"/>
    <w:rsid w:val="00D402A7"/>
    <w:rsid w:val="00D40836"/>
    <w:rsid w:val="00D414F7"/>
    <w:rsid w:val="00D43862"/>
    <w:rsid w:val="00D43F29"/>
    <w:rsid w:val="00D443BE"/>
    <w:rsid w:val="00D44AE3"/>
    <w:rsid w:val="00D44C4F"/>
    <w:rsid w:val="00D46B73"/>
    <w:rsid w:val="00D504BB"/>
    <w:rsid w:val="00D5216F"/>
    <w:rsid w:val="00D52C03"/>
    <w:rsid w:val="00D52C06"/>
    <w:rsid w:val="00D53A49"/>
    <w:rsid w:val="00D540C9"/>
    <w:rsid w:val="00D541A1"/>
    <w:rsid w:val="00D549E9"/>
    <w:rsid w:val="00D56235"/>
    <w:rsid w:val="00D56240"/>
    <w:rsid w:val="00D562A0"/>
    <w:rsid w:val="00D56EED"/>
    <w:rsid w:val="00D57327"/>
    <w:rsid w:val="00D57E12"/>
    <w:rsid w:val="00D57E5A"/>
    <w:rsid w:val="00D61810"/>
    <w:rsid w:val="00D61F82"/>
    <w:rsid w:val="00D62662"/>
    <w:rsid w:val="00D62B29"/>
    <w:rsid w:val="00D62C98"/>
    <w:rsid w:val="00D6315C"/>
    <w:rsid w:val="00D6696B"/>
    <w:rsid w:val="00D678D7"/>
    <w:rsid w:val="00D70F52"/>
    <w:rsid w:val="00D7120A"/>
    <w:rsid w:val="00D71F4A"/>
    <w:rsid w:val="00D72DF7"/>
    <w:rsid w:val="00D7317F"/>
    <w:rsid w:val="00D7385A"/>
    <w:rsid w:val="00D73B55"/>
    <w:rsid w:val="00D74320"/>
    <w:rsid w:val="00D7484D"/>
    <w:rsid w:val="00D748CE"/>
    <w:rsid w:val="00D74ACC"/>
    <w:rsid w:val="00D75B6A"/>
    <w:rsid w:val="00D773D3"/>
    <w:rsid w:val="00D77FF2"/>
    <w:rsid w:val="00D80533"/>
    <w:rsid w:val="00D805A2"/>
    <w:rsid w:val="00D81987"/>
    <w:rsid w:val="00D8315F"/>
    <w:rsid w:val="00D83961"/>
    <w:rsid w:val="00D83ED9"/>
    <w:rsid w:val="00D8458C"/>
    <w:rsid w:val="00D850A5"/>
    <w:rsid w:val="00D856AA"/>
    <w:rsid w:val="00D85BCC"/>
    <w:rsid w:val="00D85F56"/>
    <w:rsid w:val="00D865C7"/>
    <w:rsid w:val="00D86AEC"/>
    <w:rsid w:val="00D87D5D"/>
    <w:rsid w:val="00D90C6D"/>
    <w:rsid w:val="00D92084"/>
    <w:rsid w:val="00D939A1"/>
    <w:rsid w:val="00D952FE"/>
    <w:rsid w:val="00D961ED"/>
    <w:rsid w:val="00DA06C6"/>
    <w:rsid w:val="00DA0798"/>
    <w:rsid w:val="00DA0C30"/>
    <w:rsid w:val="00DA13BE"/>
    <w:rsid w:val="00DA173A"/>
    <w:rsid w:val="00DA2136"/>
    <w:rsid w:val="00DA2995"/>
    <w:rsid w:val="00DA4CFE"/>
    <w:rsid w:val="00DA5615"/>
    <w:rsid w:val="00DA5E38"/>
    <w:rsid w:val="00DA6571"/>
    <w:rsid w:val="00DA687B"/>
    <w:rsid w:val="00DA68DF"/>
    <w:rsid w:val="00DA71E6"/>
    <w:rsid w:val="00DB1C24"/>
    <w:rsid w:val="00DB1FA7"/>
    <w:rsid w:val="00DB2F83"/>
    <w:rsid w:val="00DB3400"/>
    <w:rsid w:val="00DB44BE"/>
    <w:rsid w:val="00DB4527"/>
    <w:rsid w:val="00DB46E9"/>
    <w:rsid w:val="00DB4C2D"/>
    <w:rsid w:val="00DB5824"/>
    <w:rsid w:val="00DB5B38"/>
    <w:rsid w:val="00DC15C5"/>
    <w:rsid w:val="00DC1810"/>
    <w:rsid w:val="00DC23FC"/>
    <w:rsid w:val="00DC3405"/>
    <w:rsid w:val="00DC3C4F"/>
    <w:rsid w:val="00DC4141"/>
    <w:rsid w:val="00DC4D7B"/>
    <w:rsid w:val="00DC5682"/>
    <w:rsid w:val="00DC67FF"/>
    <w:rsid w:val="00DD06D7"/>
    <w:rsid w:val="00DD12CE"/>
    <w:rsid w:val="00DD2BF4"/>
    <w:rsid w:val="00DD2DE5"/>
    <w:rsid w:val="00DD4C3D"/>
    <w:rsid w:val="00DD5986"/>
    <w:rsid w:val="00DD5AE6"/>
    <w:rsid w:val="00DD624A"/>
    <w:rsid w:val="00DD6D3C"/>
    <w:rsid w:val="00DD6E3C"/>
    <w:rsid w:val="00DD7163"/>
    <w:rsid w:val="00DE00FB"/>
    <w:rsid w:val="00DE0769"/>
    <w:rsid w:val="00DE1EEF"/>
    <w:rsid w:val="00DE2000"/>
    <w:rsid w:val="00DE2391"/>
    <w:rsid w:val="00DE3138"/>
    <w:rsid w:val="00DE4B04"/>
    <w:rsid w:val="00DE5041"/>
    <w:rsid w:val="00DE5757"/>
    <w:rsid w:val="00DE6298"/>
    <w:rsid w:val="00DE661A"/>
    <w:rsid w:val="00DE6AB9"/>
    <w:rsid w:val="00DE6ECB"/>
    <w:rsid w:val="00DE6F7B"/>
    <w:rsid w:val="00DF01F9"/>
    <w:rsid w:val="00DF035D"/>
    <w:rsid w:val="00DF0518"/>
    <w:rsid w:val="00DF09D3"/>
    <w:rsid w:val="00DF19EC"/>
    <w:rsid w:val="00DF3158"/>
    <w:rsid w:val="00DF6926"/>
    <w:rsid w:val="00DF6BB2"/>
    <w:rsid w:val="00DF709C"/>
    <w:rsid w:val="00E016A0"/>
    <w:rsid w:val="00E01EC7"/>
    <w:rsid w:val="00E02B1C"/>
    <w:rsid w:val="00E04F0F"/>
    <w:rsid w:val="00E0611B"/>
    <w:rsid w:val="00E071C8"/>
    <w:rsid w:val="00E0778F"/>
    <w:rsid w:val="00E10145"/>
    <w:rsid w:val="00E10B4B"/>
    <w:rsid w:val="00E10DA9"/>
    <w:rsid w:val="00E1182B"/>
    <w:rsid w:val="00E1201F"/>
    <w:rsid w:val="00E12B94"/>
    <w:rsid w:val="00E12F0F"/>
    <w:rsid w:val="00E13390"/>
    <w:rsid w:val="00E13B29"/>
    <w:rsid w:val="00E14DFE"/>
    <w:rsid w:val="00E163CC"/>
    <w:rsid w:val="00E16D84"/>
    <w:rsid w:val="00E2131F"/>
    <w:rsid w:val="00E21DAC"/>
    <w:rsid w:val="00E221EF"/>
    <w:rsid w:val="00E223A4"/>
    <w:rsid w:val="00E22AFD"/>
    <w:rsid w:val="00E23473"/>
    <w:rsid w:val="00E2406B"/>
    <w:rsid w:val="00E24E83"/>
    <w:rsid w:val="00E25060"/>
    <w:rsid w:val="00E25ECE"/>
    <w:rsid w:val="00E27EE7"/>
    <w:rsid w:val="00E327CB"/>
    <w:rsid w:val="00E333A7"/>
    <w:rsid w:val="00E33AED"/>
    <w:rsid w:val="00E3494A"/>
    <w:rsid w:val="00E35636"/>
    <w:rsid w:val="00E364F3"/>
    <w:rsid w:val="00E369A1"/>
    <w:rsid w:val="00E45954"/>
    <w:rsid w:val="00E467DA"/>
    <w:rsid w:val="00E46935"/>
    <w:rsid w:val="00E4693B"/>
    <w:rsid w:val="00E476FA"/>
    <w:rsid w:val="00E501EF"/>
    <w:rsid w:val="00E51DBB"/>
    <w:rsid w:val="00E520C4"/>
    <w:rsid w:val="00E53277"/>
    <w:rsid w:val="00E54130"/>
    <w:rsid w:val="00E55497"/>
    <w:rsid w:val="00E55F3F"/>
    <w:rsid w:val="00E56AAA"/>
    <w:rsid w:val="00E56C70"/>
    <w:rsid w:val="00E572E9"/>
    <w:rsid w:val="00E60B79"/>
    <w:rsid w:val="00E60E10"/>
    <w:rsid w:val="00E60FAE"/>
    <w:rsid w:val="00E6145B"/>
    <w:rsid w:val="00E618D7"/>
    <w:rsid w:val="00E626A5"/>
    <w:rsid w:val="00E62B2C"/>
    <w:rsid w:val="00E63819"/>
    <w:rsid w:val="00E63ADB"/>
    <w:rsid w:val="00E63C28"/>
    <w:rsid w:val="00E63FB1"/>
    <w:rsid w:val="00E6528B"/>
    <w:rsid w:val="00E66762"/>
    <w:rsid w:val="00E667C9"/>
    <w:rsid w:val="00E707D8"/>
    <w:rsid w:val="00E70E7B"/>
    <w:rsid w:val="00E710DE"/>
    <w:rsid w:val="00E739DD"/>
    <w:rsid w:val="00E73ADA"/>
    <w:rsid w:val="00E749FA"/>
    <w:rsid w:val="00E74C95"/>
    <w:rsid w:val="00E756D0"/>
    <w:rsid w:val="00E761E8"/>
    <w:rsid w:val="00E76544"/>
    <w:rsid w:val="00E77B96"/>
    <w:rsid w:val="00E80945"/>
    <w:rsid w:val="00E8297D"/>
    <w:rsid w:val="00E830A1"/>
    <w:rsid w:val="00E83932"/>
    <w:rsid w:val="00E846AA"/>
    <w:rsid w:val="00E84BFB"/>
    <w:rsid w:val="00E85FFE"/>
    <w:rsid w:val="00E873DA"/>
    <w:rsid w:val="00E874DD"/>
    <w:rsid w:val="00E9158D"/>
    <w:rsid w:val="00E91D81"/>
    <w:rsid w:val="00E9248D"/>
    <w:rsid w:val="00E92671"/>
    <w:rsid w:val="00E929D4"/>
    <w:rsid w:val="00E92A7B"/>
    <w:rsid w:val="00E932FB"/>
    <w:rsid w:val="00E93579"/>
    <w:rsid w:val="00E93E9A"/>
    <w:rsid w:val="00E94E9C"/>
    <w:rsid w:val="00E95036"/>
    <w:rsid w:val="00E95260"/>
    <w:rsid w:val="00E9591A"/>
    <w:rsid w:val="00E95EE5"/>
    <w:rsid w:val="00E962FB"/>
    <w:rsid w:val="00E96550"/>
    <w:rsid w:val="00E972D9"/>
    <w:rsid w:val="00E97806"/>
    <w:rsid w:val="00EA0081"/>
    <w:rsid w:val="00EA0B80"/>
    <w:rsid w:val="00EA22D3"/>
    <w:rsid w:val="00EA2645"/>
    <w:rsid w:val="00EA3C49"/>
    <w:rsid w:val="00EA4143"/>
    <w:rsid w:val="00EA5C0E"/>
    <w:rsid w:val="00EA6C6B"/>
    <w:rsid w:val="00EA6EC4"/>
    <w:rsid w:val="00EA79E3"/>
    <w:rsid w:val="00EA7DE1"/>
    <w:rsid w:val="00EB0A59"/>
    <w:rsid w:val="00EB1593"/>
    <w:rsid w:val="00EB21C2"/>
    <w:rsid w:val="00EB3859"/>
    <w:rsid w:val="00EB3950"/>
    <w:rsid w:val="00EB45BF"/>
    <w:rsid w:val="00EB5358"/>
    <w:rsid w:val="00EB55B7"/>
    <w:rsid w:val="00EB5890"/>
    <w:rsid w:val="00EC01B6"/>
    <w:rsid w:val="00EC2112"/>
    <w:rsid w:val="00EC5AB7"/>
    <w:rsid w:val="00EC6B18"/>
    <w:rsid w:val="00EC6B7E"/>
    <w:rsid w:val="00EC6FC0"/>
    <w:rsid w:val="00ED0229"/>
    <w:rsid w:val="00ED070F"/>
    <w:rsid w:val="00ED1127"/>
    <w:rsid w:val="00ED1E6C"/>
    <w:rsid w:val="00ED28FE"/>
    <w:rsid w:val="00ED2D99"/>
    <w:rsid w:val="00ED33F3"/>
    <w:rsid w:val="00ED4932"/>
    <w:rsid w:val="00ED5757"/>
    <w:rsid w:val="00ED5E1C"/>
    <w:rsid w:val="00ED5E2D"/>
    <w:rsid w:val="00ED5E94"/>
    <w:rsid w:val="00ED60C7"/>
    <w:rsid w:val="00ED798B"/>
    <w:rsid w:val="00ED7E6B"/>
    <w:rsid w:val="00EE01F0"/>
    <w:rsid w:val="00EE09A0"/>
    <w:rsid w:val="00EE12D2"/>
    <w:rsid w:val="00EE1AA8"/>
    <w:rsid w:val="00EE223B"/>
    <w:rsid w:val="00EE29EC"/>
    <w:rsid w:val="00EE2B79"/>
    <w:rsid w:val="00EE3C21"/>
    <w:rsid w:val="00EE3E55"/>
    <w:rsid w:val="00EE4061"/>
    <w:rsid w:val="00EE6349"/>
    <w:rsid w:val="00EE6C9C"/>
    <w:rsid w:val="00EE70CC"/>
    <w:rsid w:val="00EE7828"/>
    <w:rsid w:val="00EF07A8"/>
    <w:rsid w:val="00EF09D3"/>
    <w:rsid w:val="00EF113A"/>
    <w:rsid w:val="00EF12ED"/>
    <w:rsid w:val="00EF1CF9"/>
    <w:rsid w:val="00EF4156"/>
    <w:rsid w:val="00EF438E"/>
    <w:rsid w:val="00EF44B3"/>
    <w:rsid w:val="00EF46F9"/>
    <w:rsid w:val="00EF4741"/>
    <w:rsid w:val="00EF47BB"/>
    <w:rsid w:val="00EF483F"/>
    <w:rsid w:val="00EF5334"/>
    <w:rsid w:val="00EF5A60"/>
    <w:rsid w:val="00EF5D37"/>
    <w:rsid w:val="00EF60FF"/>
    <w:rsid w:val="00EF68F2"/>
    <w:rsid w:val="00EF6C66"/>
    <w:rsid w:val="00F006DE"/>
    <w:rsid w:val="00F0165F"/>
    <w:rsid w:val="00F03421"/>
    <w:rsid w:val="00F0346F"/>
    <w:rsid w:val="00F03821"/>
    <w:rsid w:val="00F06229"/>
    <w:rsid w:val="00F06361"/>
    <w:rsid w:val="00F07ACD"/>
    <w:rsid w:val="00F07F5C"/>
    <w:rsid w:val="00F10171"/>
    <w:rsid w:val="00F11154"/>
    <w:rsid w:val="00F126AF"/>
    <w:rsid w:val="00F1457B"/>
    <w:rsid w:val="00F14C16"/>
    <w:rsid w:val="00F15368"/>
    <w:rsid w:val="00F161B7"/>
    <w:rsid w:val="00F17D4D"/>
    <w:rsid w:val="00F2037F"/>
    <w:rsid w:val="00F22143"/>
    <w:rsid w:val="00F230EE"/>
    <w:rsid w:val="00F2405B"/>
    <w:rsid w:val="00F259AE"/>
    <w:rsid w:val="00F259B8"/>
    <w:rsid w:val="00F25D9B"/>
    <w:rsid w:val="00F271BD"/>
    <w:rsid w:val="00F27A08"/>
    <w:rsid w:val="00F31031"/>
    <w:rsid w:val="00F3115A"/>
    <w:rsid w:val="00F3121A"/>
    <w:rsid w:val="00F31347"/>
    <w:rsid w:val="00F31E61"/>
    <w:rsid w:val="00F3233B"/>
    <w:rsid w:val="00F325F7"/>
    <w:rsid w:val="00F32DFE"/>
    <w:rsid w:val="00F336D3"/>
    <w:rsid w:val="00F33ADE"/>
    <w:rsid w:val="00F34F5F"/>
    <w:rsid w:val="00F35181"/>
    <w:rsid w:val="00F35192"/>
    <w:rsid w:val="00F363EB"/>
    <w:rsid w:val="00F36947"/>
    <w:rsid w:val="00F370B8"/>
    <w:rsid w:val="00F406A8"/>
    <w:rsid w:val="00F409D0"/>
    <w:rsid w:val="00F427C4"/>
    <w:rsid w:val="00F44110"/>
    <w:rsid w:val="00F45C81"/>
    <w:rsid w:val="00F46458"/>
    <w:rsid w:val="00F469F5"/>
    <w:rsid w:val="00F46C3E"/>
    <w:rsid w:val="00F46FE0"/>
    <w:rsid w:val="00F474FB"/>
    <w:rsid w:val="00F51404"/>
    <w:rsid w:val="00F5166B"/>
    <w:rsid w:val="00F52335"/>
    <w:rsid w:val="00F527D8"/>
    <w:rsid w:val="00F53C79"/>
    <w:rsid w:val="00F53E30"/>
    <w:rsid w:val="00F54896"/>
    <w:rsid w:val="00F555A2"/>
    <w:rsid w:val="00F55882"/>
    <w:rsid w:val="00F558B1"/>
    <w:rsid w:val="00F560FF"/>
    <w:rsid w:val="00F56298"/>
    <w:rsid w:val="00F5675A"/>
    <w:rsid w:val="00F572E2"/>
    <w:rsid w:val="00F602B4"/>
    <w:rsid w:val="00F611EC"/>
    <w:rsid w:val="00F612CE"/>
    <w:rsid w:val="00F62454"/>
    <w:rsid w:val="00F6248B"/>
    <w:rsid w:val="00F65993"/>
    <w:rsid w:val="00F6776B"/>
    <w:rsid w:val="00F722FA"/>
    <w:rsid w:val="00F73257"/>
    <w:rsid w:val="00F7455E"/>
    <w:rsid w:val="00F75D14"/>
    <w:rsid w:val="00F75D54"/>
    <w:rsid w:val="00F76533"/>
    <w:rsid w:val="00F76D33"/>
    <w:rsid w:val="00F76F0C"/>
    <w:rsid w:val="00F776C5"/>
    <w:rsid w:val="00F80314"/>
    <w:rsid w:val="00F803BF"/>
    <w:rsid w:val="00F82810"/>
    <w:rsid w:val="00F82F63"/>
    <w:rsid w:val="00F83AB1"/>
    <w:rsid w:val="00F83DD4"/>
    <w:rsid w:val="00F84519"/>
    <w:rsid w:val="00F84767"/>
    <w:rsid w:val="00F84BAA"/>
    <w:rsid w:val="00F86D9F"/>
    <w:rsid w:val="00F86EB5"/>
    <w:rsid w:val="00F87FEE"/>
    <w:rsid w:val="00F90E56"/>
    <w:rsid w:val="00F91941"/>
    <w:rsid w:val="00F925B3"/>
    <w:rsid w:val="00F92963"/>
    <w:rsid w:val="00F92B3E"/>
    <w:rsid w:val="00F92B88"/>
    <w:rsid w:val="00F93ED6"/>
    <w:rsid w:val="00F94682"/>
    <w:rsid w:val="00F94DBB"/>
    <w:rsid w:val="00F94FF8"/>
    <w:rsid w:val="00F96B32"/>
    <w:rsid w:val="00FA0A16"/>
    <w:rsid w:val="00FA1F07"/>
    <w:rsid w:val="00FA242B"/>
    <w:rsid w:val="00FA3198"/>
    <w:rsid w:val="00FA343E"/>
    <w:rsid w:val="00FA38B9"/>
    <w:rsid w:val="00FA7100"/>
    <w:rsid w:val="00FA7B28"/>
    <w:rsid w:val="00FB0F03"/>
    <w:rsid w:val="00FB18C6"/>
    <w:rsid w:val="00FB1D1E"/>
    <w:rsid w:val="00FB3400"/>
    <w:rsid w:val="00FB366C"/>
    <w:rsid w:val="00FB4B1F"/>
    <w:rsid w:val="00FB55AA"/>
    <w:rsid w:val="00FB5725"/>
    <w:rsid w:val="00FB6DB5"/>
    <w:rsid w:val="00FB7375"/>
    <w:rsid w:val="00FB7B4A"/>
    <w:rsid w:val="00FB7BE4"/>
    <w:rsid w:val="00FC12CC"/>
    <w:rsid w:val="00FC1D2F"/>
    <w:rsid w:val="00FC2AB0"/>
    <w:rsid w:val="00FC2FFF"/>
    <w:rsid w:val="00FC3FF8"/>
    <w:rsid w:val="00FC4A09"/>
    <w:rsid w:val="00FC4BFB"/>
    <w:rsid w:val="00FC4C8C"/>
    <w:rsid w:val="00FC64EF"/>
    <w:rsid w:val="00FC78D2"/>
    <w:rsid w:val="00FC7BAA"/>
    <w:rsid w:val="00FD0262"/>
    <w:rsid w:val="00FD09FC"/>
    <w:rsid w:val="00FD0DBD"/>
    <w:rsid w:val="00FD100D"/>
    <w:rsid w:val="00FD10DD"/>
    <w:rsid w:val="00FD17DD"/>
    <w:rsid w:val="00FD37DD"/>
    <w:rsid w:val="00FD3F95"/>
    <w:rsid w:val="00FD6B84"/>
    <w:rsid w:val="00FD7569"/>
    <w:rsid w:val="00FE178B"/>
    <w:rsid w:val="00FE1C05"/>
    <w:rsid w:val="00FE27D6"/>
    <w:rsid w:val="00FE45DC"/>
    <w:rsid w:val="00FE58E7"/>
    <w:rsid w:val="00FE6679"/>
    <w:rsid w:val="00FE69F9"/>
    <w:rsid w:val="00FE79ED"/>
    <w:rsid w:val="00FE7A45"/>
    <w:rsid w:val="00FE7EE5"/>
    <w:rsid w:val="00FF0822"/>
    <w:rsid w:val="00FF3821"/>
    <w:rsid w:val="00FF40D7"/>
    <w:rsid w:val="00FF5084"/>
    <w:rsid w:val="00FF552C"/>
    <w:rsid w:val="00FF559F"/>
    <w:rsid w:val="00FF5DD3"/>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74C1EE-0648-491C-A5E0-DFB1C63E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672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E652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16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16D8"/>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D1E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720"/>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6">
    <w:name w:val="Pa6"/>
    <w:basedOn w:val="Default"/>
    <w:next w:val="Default"/>
    <w:uiPriority w:val="99"/>
    <w:rsid w:val="00B76720"/>
    <w:pPr>
      <w:spacing w:line="221" w:lineRule="atLeast"/>
    </w:pPr>
    <w:rPr>
      <w:rFonts w:ascii="Myriad Pro Light" w:hAnsi="Myriad Pro Light" w:cs="Times New Roman"/>
      <w:color w:val="auto"/>
    </w:rPr>
  </w:style>
  <w:style w:type="character" w:customStyle="1" w:styleId="Heading3Char">
    <w:name w:val="Heading 3 Char"/>
    <w:basedOn w:val="DefaultParagraphFont"/>
    <w:link w:val="Heading3"/>
    <w:uiPriority w:val="9"/>
    <w:rsid w:val="001216D8"/>
    <w:rPr>
      <w:rFonts w:asciiTheme="majorHAnsi" w:eastAsiaTheme="majorEastAsia" w:hAnsiTheme="majorHAnsi" w:cstheme="majorBidi"/>
      <w:color w:val="1F4D78" w:themeColor="accent1" w:themeShade="7F"/>
      <w:sz w:val="24"/>
      <w:szCs w:val="24"/>
    </w:rPr>
  </w:style>
  <w:style w:type="paragraph" w:styleId="FootnoteText">
    <w:name w:val="footnote text"/>
    <w:aliases w:val="fn,footnote text,FOOTNOTES,single space,Footnotes,ft,Footnote ak,fn cafc,Footnotes Char,Footnote ak Char,Footnotes Char Char,Footnote Text Char Char,fn Char Char,footnote text Char Char Char Ch,footnote text Char Char Char C,fn Char,Char"/>
    <w:basedOn w:val="Normal"/>
    <w:link w:val="FootnoteTextChar"/>
    <w:uiPriority w:val="99"/>
    <w:unhideWhenUsed/>
    <w:qFormat/>
    <w:rsid w:val="001216D8"/>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n Char1,footnote text Char,FOOTNOTES Char,single space Char,Footnotes Char1,ft Char,Footnote ak Char1,fn cafc Char,Footnotes Char Char1,Footnote ak Char Char,Footnotes Char Char Char,Footnote Text Char Char Char,fn Char Char Char"/>
    <w:basedOn w:val="DefaultParagraphFont"/>
    <w:link w:val="FootnoteText"/>
    <w:uiPriority w:val="99"/>
    <w:rsid w:val="001216D8"/>
    <w:rPr>
      <w:sz w:val="20"/>
      <w:szCs w:val="20"/>
    </w:rPr>
  </w:style>
  <w:style w:type="character" w:styleId="FootnoteReference">
    <w:name w:val="footnote reference"/>
    <w:aliases w:val="Ref,de nota al pie,註腳內容,Footnote Reference1,Ref1,de nota al pie1,de nota al pie + (Asian) MS Mincho,11 pt,SUPERS,E FNZ,-E Fußnotenzeichen,Footnote#,16 Point,Superscript 6 Point,ftref,Appel note de bas de page,BVI fnr,number,Footnote"/>
    <w:basedOn w:val="DefaultParagraphFont"/>
    <w:link w:val="CharChar4"/>
    <w:uiPriority w:val="99"/>
    <w:unhideWhenUsed/>
    <w:rsid w:val="001216D8"/>
    <w:rPr>
      <w:vertAlign w:val="superscript"/>
    </w:rPr>
  </w:style>
  <w:style w:type="paragraph" w:customStyle="1" w:styleId="CharChar4">
    <w:name w:val="Char Char4"/>
    <w:basedOn w:val="Normal"/>
    <w:link w:val="FootnoteReference"/>
    <w:uiPriority w:val="99"/>
    <w:rsid w:val="001216D8"/>
    <w:pPr>
      <w:spacing w:after="160" w:line="240" w:lineRule="exact"/>
    </w:pPr>
    <w:rPr>
      <w:rFonts w:asciiTheme="minorHAnsi" w:eastAsiaTheme="minorHAnsi" w:hAnsiTheme="minorHAnsi" w:cstheme="minorBidi"/>
      <w:vertAlign w:val="superscript"/>
    </w:rPr>
  </w:style>
  <w:style w:type="character" w:customStyle="1" w:styleId="Heading2Char">
    <w:name w:val="Heading 2 Char"/>
    <w:basedOn w:val="DefaultParagraphFont"/>
    <w:link w:val="Heading2"/>
    <w:uiPriority w:val="9"/>
    <w:rsid w:val="001216D8"/>
    <w:rPr>
      <w:rFonts w:asciiTheme="majorHAnsi" w:eastAsiaTheme="majorEastAsia" w:hAnsiTheme="majorHAnsi" w:cstheme="majorBidi"/>
      <w:color w:val="2E74B5" w:themeColor="accent1" w:themeShade="BF"/>
      <w:sz w:val="26"/>
      <w:szCs w:val="26"/>
    </w:rPr>
  </w:style>
  <w:style w:type="paragraph" w:styleId="ListParagraph">
    <w:name w:val="List Paragraph"/>
    <w:aliases w:val="Heading II,List Paragraph1,Bullets,List Paragraph (numbered (a)),Numbered List Paragraph,List Paragraph11,Number Bullets,Evidence on Demand bullet points,CEIL PEAKS bullet points,Scriptoria bullet points,List bullet,List ParaN,References"/>
    <w:basedOn w:val="Normal"/>
    <w:link w:val="ListParagraphChar"/>
    <w:uiPriority w:val="34"/>
    <w:qFormat/>
    <w:rsid w:val="00687198"/>
    <w:pPr>
      <w:ind w:left="720"/>
      <w:contextualSpacing/>
    </w:pPr>
    <w:rPr>
      <w:rFonts w:asciiTheme="minorHAnsi" w:eastAsiaTheme="minorHAnsi" w:hAnsiTheme="minorHAnsi" w:cstheme="minorBidi"/>
    </w:rPr>
  </w:style>
  <w:style w:type="character" w:customStyle="1" w:styleId="ListParagraphChar">
    <w:name w:val="List Paragraph Char"/>
    <w:aliases w:val="Heading II Char,List Paragraph1 Char,Bullets Char,List Paragraph (numbered (a)) Char,Numbered List Paragraph Char,List Paragraph11 Char,Number Bullets Char,Evidence on Demand bullet points Char,CEIL PEAKS bullet points Char"/>
    <w:link w:val="ListParagraph"/>
    <w:uiPriority w:val="34"/>
    <w:qFormat/>
    <w:locked/>
    <w:rsid w:val="00687198"/>
  </w:style>
  <w:style w:type="paragraph" w:styleId="Caption">
    <w:name w:val="caption"/>
    <w:basedOn w:val="Normal"/>
    <w:next w:val="Normal"/>
    <w:uiPriority w:val="35"/>
    <w:unhideWhenUsed/>
    <w:qFormat/>
    <w:rsid w:val="00C72DFE"/>
    <w:pPr>
      <w:spacing w:line="240" w:lineRule="auto"/>
    </w:pPr>
    <w:rPr>
      <w:rFonts w:asciiTheme="minorHAnsi" w:eastAsiaTheme="minorEastAsia" w:hAnsiTheme="minorHAnsi" w:cstheme="minorBidi"/>
      <w:b/>
      <w:bCs/>
      <w:color w:val="5B9BD5" w:themeColor="accent1"/>
      <w:sz w:val="18"/>
      <w:szCs w:val="18"/>
      <w:lang w:val="en-GB" w:eastAsia="en-GB"/>
    </w:rPr>
  </w:style>
  <w:style w:type="paragraph" w:styleId="BodyText">
    <w:name w:val="Body Text"/>
    <w:basedOn w:val="Normal"/>
    <w:link w:val="BodyTextChar"/>
    <w:rsid w:val="005F64CF"/>
    <w:pPr>
      <w:spacing w:after="0" w:line="360" w:lineRule="auto"/>
      <w:jc w:val="both"/>
    </w:pPr>
    <w:rPr>
      <w:rFonts w:ascii="Times New Roman" w:hAnsi="Times New Roman"/>
      <w:sz w:val="24"/>
      <w:szCs w:val="20"/>
    </w:rPr>
  </w:style>
  <w:style w:type="character" w:customStyle="1" w:styleId="BodyTextChar">
    <w:name w:val="Body Text Char"/>
    <w:basedOn w:val="DefaultParagraphFont"/>
    <w:link w:val="BodyText"/>
    <w:rsid w:val="005F64C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6528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7D1E8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63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B59"/>
    <w:rPr>
      <w:rFonts w:ascii="Tahoma" w:eastAsia="Times New Roman" w:hAnsi="Tahoma" w:cs="Tahoma"/>
      <w:sz w:val="16"/>
      <w:szCs w:val="16"/>
    </w:rPr>
  </w:style>
  <w:style w:type="paragraph" w:styleId="Header">
    <w:name w:val="header"/>
    <w:basedOn w:val="Normal"/>
    <w:link w:val="HeaderChar"/>
    <w:uiPriority w:val="99"/>
    <w:unhideWhenUsed/>
    <w:rsid w:val="0080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F4"/>
    <w:rPr>
      <w:rFonts w:ascii="Calibri" w:eastAsia="Times New Roman" w:hAnsi="Calibri" w:cs="Times New Roman"/>
    </w:rPr>
  </w:style>
  <w:style w:type="paragraph" w:styleId="Footer">
    <w:name w:val="footer"/>
    <w:basedOn w:val="Normal"/>
    <w:link w:val="FooterChar"/>
    <w:uiPriority w:val="99"/>
    <w:unhideWhenUsed/>
    <w:rsid w:val="0080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F4"/>
    <w:rPr>
      <w:rFonts w:ascii="Calibri" w:eastAsia="Times New Roman" w:hAnsi="Calibri" w:cs="Times New Roman"/>
    </w:rPr>
  </w:style>
  <w:style w:type="table" w:styleId="TableGrid">
    <w:name w:val="Table Grid"/>
    <w:basedOn w:val="TableNormal"/>
    <w:uiPriority w:val="39"/>
    <w:rsid w:val="0080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F2EF3"/>
    <w:rPr>
      <w:i/>
      <w:iCs/>
    </w:rPr>
  </w:style>
  <w:style w:type="character" w:styleId="Hyperlink">
    <w:name w:val="Hyperlink"/>
    <w:uiPriority w:val="99"/>
    <w:unhideWhenUsed/>
    <w:rsid w:val="006F2EF3"/>
    <w:rPr>
      <w:color w:val="0563C1"/>
      <w:u w:val="single"/>
    </w:rPr>
  </w:style>
  <w:style w:type="paragraph" w:styleId="TOC1">
    <w:name w:val="toc 1"/>
    <w:basedOn w:val="Normal"/>
    <w:next w:val="Normal"/>
    <w:autoRedefine/>
    <w:uiPriority w:val="39"/>
    <w:unhideWhenUsed/>
    <w:rsid w:val="006F2EF3"/>
    <w:pPr>
      <w:spacing w:after="100" w:line="259" w:lineRule="auto"/>
    </w:pPr>
    <w:rPr>
      <w:rFonts w:eastAsia="Calibri"/>
    </w:rPr>
  </w:style>
  <w:style w:type="paragraph" w:styleId="TOCHeading">
    <w:name w:val="TOC Heading"/>
    <w:basedOn w:val="Heading1"/>
    <w:next w:val="Normal"/>
    <w:uiPriority w:val="39"/>
    <w:unhideWhenUsed/>
    <w:qFormat/>
    <w:rsid w:val="006F2EF3"/>
    <w:pPr>
      <w:spacing w:line="259" w:lineRule="auto"/>
      <w:outlineLvl w:val="9"/>
    </w:pPr>
    <w:rPr>
      <w:rFonts w:ascii="Calibri Light" w:eastAsia="Times New Roman" w:hAnsi="Calibri Light" w:cs="Times New Roman"/>
      <w:color w:val="2E74B5"/>
    </w:rPr>
  </w:style>
  <w:style w:type="paragraph" w:styleId="TOC2">
    <w:name w:val="toc 2"/>
    <w:basedOn w:val="Normal"/>
    <w:next w:val="Normal"/>
    <w:autoRedefine/>
    <w:uiPriority w:val="39"/>
    <w:unhideWhenUsed/>
    <w:rsid w:val="004D2239"/>
    <w:pPr>
      <w:tabs>
        <w:tab w:val="right" w:leader="dot" w:pos="9350"/>
      </w:tabs>
      <w:ind w:left="220"/>
    </w:pPr>
    <w:rPr>
      <w:rFonts w:ascii="Garamond" w:hAnsi="Garamond"/>
      <w:noProof/>
    </w:rPr>
  </w:style>
  <w:style w:type="paragraph" w:styleId="Subtitle">
    <w:name w:val="Subtitle"/>
    <w:basedOn w:val="Normal"/>
    <w:next w:val="Normal"/>
    <w:link w:val="SubtitleChar"/>
    <w:uiPriority w:val="11"/>
    <w:qFormat/>
    <w:rsid w:val="00A30924"/>
    <w:pPr>
      <w:numPr>
        <w:ilvl w:val="1"/>
      </w:numPr>
    </w:pPr>
    <w:rPr>
      <w:rFonts w:ascii="Calibri Light" w:hAnsi="Calibri Light"/>
      <w:i/>
      <w:iCs/>
      <w:color w:val="5B9BD5"/>
      <w:spacing w:val="15"/>
      <w:sz w:val="24"/>
      <w:szCs w:val="24"/>
    </w:rPr>
  </w:style>
  <w:style w:type="character" w:customStyle="1" w:styleId="SubtitleChar">
    <w:name w:val="Subtitle Char"/>
    <w:basedOn w:val="DefaultParagraphFont"/>
    <w:link w:val="Subtitle"/>
    <w:uiPriority w:val="11"/>
    <w:rsid w:val="00A30924"/>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DefaultParagraphFont"/>
    <w:rsid w:val="009401E0"/>
  </w:style>
  <w:style w:type="paragraph" w:styleId="TOC3">
    <w:name w:val="toc 3"/>
    <w:basedOn w:val="Normal"/>
    <w:next w:val="Normal"/>
    <w:autoRedefine/>
    <w:uiPriority w:val="39"/>
    <w:unhideWhenUsed/>
    <w:rsid w:val="00595ACE"/>
    <w:pPr>
      <w:spacing w:after="100"/>
      <w:ind w:left="440"/>
    </w:pPr>
  </w:style>
  <w:style w:type="paragraph" w:styleId="CommentText">
    <w:name w:val="annotation text"/>
    <w:basedOn w:val="Normal"/>
    <w:link w:val="CommentTextChar"/>
    <w:uiPriority w:val="99"/>
    <w:unhideWhenUsed/>
    <w:rsid w:val="00B37830"/>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B37830"/>
    <w:rPr>
      <w:rFonts w:ascii="Times New Roman" w:eastAsia="Times New Roman" w:hAnsi="Times New Roman" w:cs="Times New Roman"/>
      <w:sz w:val="20"/>
      <w:szCs w:val="20"/>
    </w:rPr>
  </w:style>
  <w:style w:type="paragraph" w:styleId="NormalWeb">
    <w:name w:val="Normal (Web)"/>
    <w:basedOn w:val="Normal"/>
    <w:uiPriority w:val="99"/>
    <w:unhideWhenUsed/>
    <w:rsid w:val="00844C2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187CD8"/>
    <w:rPr>
      <w:color w:val="800080"/>
      <w:u w:val="single"/>
    </w:rPr>
  </w:style>
  <w:style w:type="paragraph" w:customStyle="1" w:styleId="font5">
    <w:name w:val="font5"/>
    <w:basedOn w:val="Normal"/>
    <w:rsid w:val="00187CD8"/>
    <w:pPr>
      <w:spacing w:before="100" w:beforeAutospacing="1" w:after="100" w:afterAutospacing="1" w:line="240" w:lineRule="auto"/>
    </w:pPr>
    <w:rPr>
      <w:rFonts w:ascii="Garamond" w:hAnsi="Garamond"/>
      <w:color w:val="000000"/>
      <w:sz w:val="24"/>
      <w:szCs w:val="24"/>
    </w:rPr>
  </w:style>
  <w:style w:type="paragraph" w:customStyle="1" w:styleId="font6">
    <w:name w:val="font6"/>
    <w:basedOn w:val="Normal"/>
    <w:rsid w:val="00187CD8"/>
    <w:pPr>
      <w:spacing w:before="100" w:beforeAutospacing="1" w:after="100" w:afterAutospacing="1" w:line="240" w:lineRule="auto"/>
    </w:pPr>
    <w:rPr>
      <w:rFonts w:ascii="Garamond" w:hAnsi="Garamond"/>
      <w:color w:val="00B050"/>
      <w:sz w:val="24"/>
      <w:szCs w:val="24"/>
    </w:rPr>
  </w:style>
  <w:style w:type="paragraph" w:customStyle="1" w:styleId="font7">
    <w:name w:val="font7"/>
    <w:basedOn w:val="Normal"/>
    <w:rsid w:val="00187CD8"/>
    <w:pPr>
      <w:spacing w:before="100" w:beforeAutospacing="1" w:after="100" w:afterAutospacing="1" w:line="240" w:lineRule="auto"/>
    </w:pPr>
    <w:rPr>
      <w:rFonts w:ascii="Garamond" w:hAnsi="Garamond"/>
      <w:b/>
      <w:bCs/>
      <w:color w:val="00B050"/>
      <w:sz w:val="24"/>
      <w:szCs w:val="24"/>
    </w:rPr>
  </w:style>
  <w:style w:type="paragraph" w:customStyle="1" w:styleId="font8">
    <w:name w:val="font8"/>
    <w:basedOn w:val="Normal"/>
    <w:rsid w:val="00187CD8"/>
    <w:pPr>
      <w:spacing w:before="100" w:beforeAutospacing="1" w:after="100" w:afterAutospacing="1" w:line="240" w:lineRule="auto"/>
    </w:pPr>
    <w:rPr>
      <w:rFonts w:ascii="Garamond" w:hAnsi="Garamond"/>
      <w:b/>
      <w:bCs/>
      <w:color w:val="333333"/>
      <w:sz w:val="24"/>
      <w:szCs w:val="24"/>
    </w:rPr>
  </w:style>
  <w:style w:type="paragraph" w:customStyle="1" w:styleId="font9">
    <w:name w:val="font9"/>
    <w:basedOn w:val="Normal"/>
    <w:rsid w:val="00187CD8"/>
    <w:pPr>
      <w:spacing w:before="100" w:beforeAutospacing="1" w:after="100" w:afterAutospacing="1" w:line="240" w:lineRule="auto"/>
    </w:pPr>
    <w:rPr>
      <w:rFonts w:ascii="Garamond" w:hAnsi="Garamond"/>
      <w:b/>
      <w:bCs/>
      <w:sz w:val="24"/>
      <w:szCs w:val="24"/>
    </w:rPr>
  </w:style>
  <w:style w:type="paragraph" w:customStyle="1" w:styleId="font10">
    <w:name w:val="font10"/>
    <w:basedOn w:val="Normal"/>
    <w:rsid w:val="00187CD8"/>
    <w:pPr>
      <w:spacing w:before="100" w:beforeAutospacing="1" w:after="100" w:afterAutospacing="1" w:line="240" w:lineRule="auto"/>
    </w:pPr>
    <w:rPr>
      <w:rFonts w:ascii="Garamond" w:hAnsi="Garamond"/>
      <w:sz w:val="24"/>
      <w:szCs w:val="24"/>
    </w:rPr>
  </w:style>
  <w:style w:type="paragraph" w:customStyle="1" w:styleId="xl63">
    <w:name w:val="xl63"/>
    <w:basedOn w:val="Normal"/>
    <w:rsid w:val="00187CD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Garamond" w:hAnsi="Garamond"/>
      <w:sz w:val="24"/>
      <w:szCs w:val="24"/>
    </w:rPr>
  </w:style>
  <w:style w:type="paragraph" w:customStyle="1" w:styleId="xl64">
    <w:name w:val="xl64"/>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hAnsi="Garamond"/>
      <w:sz w:val="24"/>
      <w:szCs w:val="24"/>
    </w:rPr>
  </w:style>
  <w:style w:type="paragraph" w:customStyle="1" w:styleId="xl65">
    <w:name w:val="xl65"/>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hAnsi="Garamond"/>
      <w:b/>
      <w:bCs/>
      <w:sz w:val="24"/>
      <w:szCs w:val="24"/>
    </w:rPr>
  </w:style>
  <w:style w:type="paragraph" w:customStyle="1" w:styleId="xl66">
    <w:name w:val="xl66"/>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hAnsi="Garamond"/>
      <w:sz w:val="24"/>
      <w:szCs w:val="24"/>
    </w:rPr>
  </w:style>
  <w:style w:type="paragraph" w:customStyle="1" w:styleId="xl67">
    <w:name w:val="xl67"/>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aramond" w:hAnsi="Garamond"/>
      <w:b/>
      <w:bCs/>
      <w:sz w:val="24"/>
      <w:szCs w:val="24"/>
    </w:rPr>
  </w:style>
  <w:style w:type="paragraph" w:customStyle="1" w:styleId="xl68">
    <w:name w:val="xl68"/>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hAnsi="Garamond"/>
      <w:color w:val="333333"/>
      <w:sz w:val="24"/>
      <w:szCs w:val="24"/>
    </w:rPr>
  </w:style>
  <w:style w:type="paragraph" w:customStyle="1" w:styleId="xl69">
    <w:name w:val="xl69"/>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hAnsi="Garamond"/>
      <w:b/>
      <w:bCs/>
      <w:sz w:val="24"/>
      <w:szCs w:val="24"/>
    </w:rPr>
  </w:style>
  <w:style w:type="paragraph" w:customStyle="1" w:styleId="xl70">
    <w:name w:val="xl70"/>
    <w:basedOn w:val="Normal"/>
    <w:rsid w:val="00187CD8"/>
    <w:pPr>
      <w:spacing w:before="100" w:beforeAutospacing="1" w:after="100" w:afterAutospacing="1" w:line="240" w:lineRule="auto"/>
      <w:ind w:firstLineChars="500" w:firstLine="500"/>
      <w:textAlignment w:val="center"/>
    </w:pPr>
    <w:rPr>
      <w:rFonts w:ascii="Garamond" w:hAnsi="Garamond"/>
      <w:color w:val="333333"/>
      <w:sz w:val="24"/>
      <w:szCs w:val="24"/>
    </w:rPr>
  </w:style>
  <w:style w:type="paragraph" w:customStyle="1" w:styleId="xl71">
    <w:name w:val="xl71"/>
    <w:basedOn w:val="Normal"/>
    <w:rsid w:val="00187CD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Garamond" w:hAnsi="Garamond"/>
      <w:sz w:val="24"/>
      <w:szCs w:val="24"/>
    </w:rPr>
  </w:style>
  <w:style w:type="paragraph" w:customStyle="1" w:styleId="xl72">
    <w:name w:val="xl72"/>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hAnsi="Garamond"/>
      <w:sz w:val="24"/>
      <w:szCs w:val="24"/>
    </w:rPr>
  </w:style>
  <w:style w:type="paragraph" w:customStyle="1" w:styleId="xl73">
    <w:name w:val="xl73"/>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hAnsi="Garamond"/>
      <w:b/>
      <w:bCs/>
      <w:color w:val="00B050"/>
      <w:sz w:val="24"/>
      <w:szCs w:val="24"/>
    </w:rPr>
  </w:style>
  <w:style w:type="paragraph" w:customStyle="1" w:styleId="xl74">
    <w:name w:val="xl74"/>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hAnsi="Garamond"/>
      <w:color w:val="00B050"/>
      <w:sz w:val="24"/>
      <w:szCs w:val="24"/>
    </w:rPr>
  </w:style>
  <w:style w:type="paragraph" w:customStyle="1" w:styleId="xl75">
    <w:name w:val="xl75"/>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hAnsi="Garamond"/>
      <w:b/>
      <w:bCs/>
      <w:sz w:val="24"/>
      <w:szCs w:val="24"/>
    </w:rPr>
  </w:style>
  <w:style w:type="paragraph" w:customStyle="1" w:styleId="xl76">
    <w:name w:val="xl76"/>
    <w:basedOn w:val="Normal"/>
    <w:rsid w:val="00187CD8"/>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Garamond" w:hAnsi="Garamond"/>
      <w:color w:val="333333"/>
      <w:sz w:val="24"/>
      <w:szCs w:val="24"/>
    </w:rPr>
  </w:style>
  <w:style w:type="paragraph" w:customStyle="1" w:styleId="xl77">
    <w:name w:val="xl77"/>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hAnsi="Garamond"/>
      <w:b/>
      <w:bCs/>
      <w:color w:val="333333"/>
      <w:sz w:val="24"/>
      <w:szCs w:val="24"/>
    </w:rPr>
  </w:style>
  <w:style w:type="paragraph" w:customStyle="1" w:styleId="xl78">
    <w:name w:val="xl78"/>
    <w:basedOn w:val="Normal"/>
    <w:rsid w:val="00187CD8"/>
    <w:pPr>
      <w:spacing w:before="100" w:beforeAutospacing="1" w:after="100" w:afterAutospacing="1" w:line="240" w:lineRule="auto"/>
    </w:pPr>
    <w:rPr>
      <w:rFonts w:ascii="Garamond" w:hAnsi="Garamond"/>
      <w:b/>
      <w:bCs/>
      <w:sz w:val="24"/>
      <w:szCs w:val="24"/>
    </w:rPr>
  </w:style>
  <w:style w:type="paragraph" w:customStyle="1" w:styleId="xl79">
    <w:name w:val="xl79"/>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hAnsi="Garamond"/>
      <w:color w:val="00B050"/>
      <w:sz w:val="24"/>
      <w:szCs w:val="24"/>
    </w:rPr>
  </w:style>
  <w:style w:type="paragraph" w:customStyle="1" w:styleId="xl80">
    <w:name w:val="xl80"/>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hAnsi="Garamond"/>
      <w:color w:val="00B050"/>
      <w:sz w:val="24"/>
      <w:szCs w:val="24"/>
    </w:rPr>
  </w:style>
  <w:style w:type="paragraph" w:customStyle="1" w:styleId="xl81">
    <w:name w:val="xl81"/>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hAnsi="Garamond"/>
      <w:color w:val="00B050"/>
      <w:sz w:val="24"/>
      <w:szCs w:val="24"/>
    </w:rPr>
  </w:style>
  <w:style w:type="paragraph" w:customStyle="1" w:styleId="xl82">
    <w:name w:val="xl82"/>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hAnsi="Garamond"/>
      <w:color w:val="00B050"/>
      <w:sz w:val="24"/>
      <w:szCs w:val="24"/>
    </w:rPr>
  </w:style>
  <w:style w:type="paragraph" w:customStyle="1" w:styleId="xl83">
    <w:name w:val="xl83"/>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hAnsi="Garamond"/>
      <w:color w:val="00B050"/>
      <w:sz w:val="24"/>
      <w:szCs w:val="24"/>
    </w:rPr>
  </w:style>
  <w:style w:type="paragraph" w:customStyle="1" w:styleId="xl84">
    <w:name w:val="xl84"/>
    <w:basedOn w:val="Normal"/>
    <w:rsid w:val="00187CD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Garamond" w:hAnsi="Garamond"/>
      <w:sz w:val="24"/>
      <w:szCs w:val="24"/>
    </w:rPr>
  </w:style>
  <w:style w:type="paragraph" w:customStyle="1" w:styleId="xl85">
    <w:name w:val="xl85"/>
    <w:basedOn w:val="Normal"/>
    <w:rsid w:val="00187CD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Garamond" w:hAnsi="Garamond"/>
      <w:sz w:val="24"/>
      <w:szCs w:val="24"/>
    </w:rPr>
  </w:style>
  <w:style w:type="paragraph" w:customStyle="1" w:styleId="xl86">
    <w:name w:val="xl86"/>
    <w:basedOn w:val="Normal"/>
    <w:rsid w:val="00187CD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Garamond" w:hAnsi="Garamond"/>
      <w:sz w:val="24"/>
      <w:szCs w:val="24"/>
    </w:rPr>
  </w:style>
  <w:style w:type="paragraph" w:customStyle="1" w:styleId="xl87">
    <w:name w:val="xl87"/>
    <w:basedOn w:val="Normal"/>
    <w:rsid w:val="00187CD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Garamond" w:hAnsi="Garamond"/>
      <w:sz w:val="24"/>
      <w:szCs w:val="24"/>
    </w:rPr>
  </w:style>
  <w:style w:type="paragraph" w:customStyle="1" w:styleId="xl88">
    <w:name w:val="xl88"/>
    <w:basedOn w:val="Normal"/>
    <w:rsid w:val="00187CD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Garamond" w:hAnsi="Garamond"/>
      <w:sz w:val="24"/>
      <w:szCs w:val="24"/>
    </w:rPr>
  </w:style>
  <w:style w:type="paragraph" w:customStyle="1" w:styleId="xl89">
    <w:name w:val="xl89"/>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hAnsi="Garamond"/>
      <w:color w:val="333333"/>
      <w:sz w:val="24"/>
      <w:szCs w:val="24"/>
    </w:rPr>
  </w:style>
  <w:style w:type="paragraph" w:customStyle="1" w:styleId="xl90">
    <w:name w:val="xl90"/>
    <w:basedOn w:val="Normal"/>
    <w:rsid w:val="00187CD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Garamond" w:hAnsi="Garamond"/>
      <w:b/>
      <w:bCs/>
      <w:color w:val="00B050"/>
      <w:sz w:val="24"/>
      <w:szCs w:val="24"/>
    </w:rPr>
  </w:style>
  <w:style w:type="paragraph" w:customStyle="1" w:styleId="xl91">
    <w:name w:val="xl91"/>
    <w:basedOn w:val="Normal"/>
    <w:rsid w:val="00187CD8"/>
    <w:pPr>
      <w:pBdr>
        <w:top w:val="single" w:sz="4" w:space="0" w:color="auto"/>
        <w:left w:val="single" w:sz="4" w:space="0" w:color="auto"/>
        <w:right w:val="single" w:sz="4" w:space="0" w:color="auto"/>
      </w:pBdr>
      <w:shd w:val="clear" w:color="000000" w:fill="C4D79B"/>
      <w:spacing w:before="100" w:beforeAutospacing="1" w:after="100" w:afterAutospacing="1" w:line="240" w:lineRule="auto"/>
      <w:textAlignment w:val="top"/>
    </w:pPr>
    <w:rPr>
      <w:rFonts w:ascii="Garamond" w:hAnsi="Garamond"/>
      <w:b/>
      <w:bCs/>
      <w:sz w:val="24"/>
      <w:szCs w:val="24"/>
    </w:rPr>
  </w:style>
  <w:style w:type="paragraph" w:customStyle="1" w:styleId="xl92">
    <w:name w:val="xl92"/>
    <w:basedOn w:val="Normal"/>
    <w:rsid w:val="00187CD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93">
    <w:name w:val="xl93"/>
    <w:basedOn w:val="Normal"/>
    <w:rsid w:val="00187CD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Garamond" w:hAnsi="Garamond"/>
      <w:sz w:val="24"/>
      <w:szCs w:val="24"/>
    </w:rPr>
  </w:style>
  <w:style w:type="paragraph" w:customStyle="1" w:styleId="xl94">
    <w:name w:val="xl94"/>
    <w:basedOn w:val="Normal"/>
    <w:rsid w:val="00187CD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Garamond" w:hAnsi="Garamond"/>
      <w:sz w:val="24"/>
      <w:szCs w:val="24"/>
    </w:rPr>
  </w:style>
  <w:style w:type="paragraph" w:customStyle="1" w:styleId="xl95">
    <w:name w:val="xl95"/>
    <w:basedOn w:val="Normal"/>
    <w:rsid w:val="00187CD8"/>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Garamond" w:hAnsi="Garamond"/>
      <w:b/>
      <w:bCs/>
      <w:sz w:val="24"/>
      <w:szCs w:val="24"/>
    </w:rPr>
  </w:style>
  <w:style w:type="paragraph" w:customStyle="1" w:styleId="xl96">
    <w:name w:val="xl96"/>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hAnsi="Garamond"/>
      <w:b/>
      <w:bCs/>
      <w:sz w:val="24"/>
      <w:szCs w:val="24"/>
    </w:rPr>
  </w:style>
  <w:style w:type="paragraph" w:customStyle="1" w:styleId="xl97">
    <w:name w:val="xl97"/>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hAnsi="Garamond"/>
      <w:sz w:val="24"/>
      <w:szCs w:val="24"/>
    </w:rPr>
  </w:style>
  <w:style w:type="paragraph" w:customStyle="1" w:styleId="xl98">
    <w:name w:val="xl98"/>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hAnsi="Garamond"/>
      <w:sz w:val="24"/>
      <w:szCs w:val="24"/>
    </w:rPr>
  </w:style>
  <w:style w:type="paragraph" w:customStyle="1" w:styleId="xl99">
    <w:name w:val="xl99"/>
    <w:basedOn w:val="Normal"/>
    <w:rsid w:val="00187CD8"/>
    <w:pPr>
      <w:spacing w:before="100" w:beforeAutospacing="1" w:after="100" w:afterAutospacing="1" w:line="240" w:lineRule="auto"/>
    </w:pPr>
    <w:rPr>
      <w:rFonts w:ascii="Garamond" w:hAnsi="Garamond"/>
      <w:sz w:val="24"/>
      <w:szCs w:val="24"/>
    </w:rPr>
  </w:style>
  <w:style w:type="paragraph" w:customStyle="1" w:styleId="xl100">
    <w:name w:val="xl100"/>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hAnsi="Garamond"/>
      <w:b/>
      <w:bCs/>
      <w:sz w:val="24"/>
      <w:szCs w:val="24"/>
    </w:rPr>
  </w:style>
  <w:style w:type="paragraph" w:customStyle="1" w:styleId="xl101">
    <w:name w:val="xl101"/>
    <w:basedOn w:val="Normal"/>
    <w:rsid w:val="00187CD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Garamond" w:hAnsi="Garamond"/>
      <w:sz w:val="24"/>
      <w:szCs w:val="24"/>
    </w:rPr>
  </w:style>
  <w:style w:type="paragraph" w:customStyle="1" w:styleId="xl102">
    <w:name w:val="xl102"/>
    <w:basedOn w:val="Normal"/>
    <w:rsid w:val="00187CD8"/>
    <w:pPr>
      <w:spacing w:before="100" w:beforeAutospacing="1" w:after="100" w:afterAutospacing="1" w:line="240" w:lineRule="auto"/>
      <w:textAlignment w:val="top"/>
    </w:pPr>
    <w:rPr>
      <w:rFonts w:ascii="Garamond" w:hAnsi="Garamond"/>
      <w:sz w:val="24"/>
      <w:szCs w:val="24"/>
    </w:rPr>
  </w:style>
  <w:style w:type="paragraph" w:customStyle="1" w:styleId="xl103">
    <w:name w:val="xl103"/>
    <w:basedOn w:val="Normal"/>
    <w:rsid w:val="00187CD8"/>
    <w:pPr>
      <w:pBdr>
        <w:top w:val="single" w:sz="4" w:space="0" w:color="auto"/>
        <w:left w:val="single" w:sz="4" w:space="0" w:color="auto"/>
        <w:right w:val="single" w:sz="4" w:space="0" w:color="auto"/>
      </w:pBdr>
      <w:shd w:val="clear" w:color="000000" w:fill="C4D79B"/>
      <w:spacing w:before="100" w:beforeAutospacing="1" w:after="100" w:afterAutospacing="1" w:line="240" w:lineRule="auto"/>
      <w:textAlignment w:val="top"/>
    </w:pPr>
    <w:rPr>
      <w:rFonts w:ascii="Garamond" w:hAnsi="Garamond"/>
      <w:sz w:val="24"/>
      <w:szCs w:val="24"/>
    </w:rPr>
  </w:style>
  <w:style w:type="paragraph" w:customStyle="1" w:styleId="xl104">
    <w:name w:val="xl104"/>
    <w:basedOn w:val="Normal"/>
    <w:rsid w:val="00187CD8"/>
    <w:pPr>
      <w:spacing w:before="100" w:beforeAutospacing="1" w:after="100" w:afterAutospacing="1" w:line="240" w:lineRule="auto"/>
    </w:pPr>
    <w:rPr>
      <w:rFonts w:ascii="Garamond" w:hAnsi="Garamond"/>
      <w:color w:val="00B050"/>
      <w:sz w:val="24"/>
      <w:szCs w:val="24"/>
    </w:rPr>
  </w:style>
  <w:style w:type="paragraph" w:customStyle="1" w:styleId="xl105">
    <w:name w:val="xl105"/>
    <w:basedOn w:val="Normal"/>
    <w:rsid w:val="00187CD8"/>
    <w:pPr>
      <w:pBdr>
        <w:top w:val="single" w:sz="4" w:space="0" w:color="auto"/>
        <w:bottom w:val="single" w:sz="4" w:space="0" w:color="auto"/>
        <w:right w:val="single" w:sz="4" w:space="0" w:color="auto"/>
      </w:pBdr>
      <w:spacing w:before="100" w:beforeAutospacing="1" w:after="100" w:afterAutospacing="1" w:line="240" w:lineRule="auto"/>
    </w:pPr>
    <w:rPr>
      <w:rFonts w:ascii="Garamond" w:hAnsi="Garamond"/>
      <w:color w:val="00B050"/>
      <w:sz w:val="24"/>
      <w:szCs w:val="24"/>
    </w:rPr>
  </w:style>
  <w:style w:type="paragraph" w:customStyle="1" w:styleId="xl106">
    <w:name w:val="xl106"/>
    <w:basedOn w:val="Normal"/>
    <w:rsid w:val="00187CD8"/>
    <w:pPr>
      <w:pBdr>
        <w:top w:val="single" w:sz="4" w:space="0" w:color="auto"/>
        <w:left w:val="single" w:sz="4" w:space="0" w:color="auto"/>
        <w:right w:val="single" w:sz="4" w:space="0" w:color="auto"/>
      </w:pBdr>
      <w:spacing w:before="100" w:beforeAutospacing="1" w:after="100" w:afterAutospacing="1" w:line="240" w:lineRule="auto"/>
      <w:jc w:val="center"/>
    </w:pPr>
    <w:rPr>
      <w:rFonts w:ascii="Garamond" w:hAnsi="Garamond"/>
      <w:b/>
      <w:bCs/>
      <w:sz w:val="24"/>
      <w:szCs w:val="24"/>
    </w:rPr>
  </w:style>
  <w:style w:type="paragraph" w:customStyle="1" w:styleId="xl107">
    <w:name w:val="xl107"/>
    <w:basedOn w:val="Normal"/>
    <w:rsid w:val="00187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hAnsi="Garamond"/>
      <w:b/>
      <w:bCs/>
      <w:sz w:val="24"/>
      <w:szCs w:val="24"/>
    </w:rPr>
  </w:style>
  <w:style w:type="paragraph" w:customStyle="1" w:styleId="xl108">
    <w:name w:val="xl108"/>
    <w:basedOn w:val="Normal"/>
    <w:rsid w:val="00187CD8"/>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Garamond" w:hAnsi="Garamond"/>
      <w:b/>
      <w:bCs/>
      <w:sz w:val="24"/>
      <w:szCs w:val="24"/>
    </w:rPr>
  </w:style>
  <w:style w:type="paragraph" w:customStyle="1" w:styleId="xl109">
    <w:name w:val="xl109"/>
    <w:basedOn w:val="Normal"/>
    <w:rsid w:val="00187CD8"/>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Garamond" w:hAnsi="Garamond"/>
      <w:b/>
      <w:bCs/>
      <w:sz w:val="24"/>
      <w:szCs w:val="24"/>
    </w:rPr>
  </w:style>
  <w:style w:type="paragraph" w:customStyle="1" w:styleId="xl110">
    <w:name w:val="xl110"/>
    <w:basedOn w:val="Normal"/>
    <w:rsid w:val="00187CD8"/>
    <w:pPr>
      <w:pBdr>
        <w:top w:val="single" w:sz="4" w:space="0" w:color="auto"/>
        <w:left w:val="single" w:sz="4" w:space="0" w:color="auto"/>
        <w:right w:val="single" w:sz="4" w:space="0" w:color="auto"/>
      </w:pBdr>
      <w:shd w:val="clear" w:color="000000" w:fill="C4D79B"/>
      <w:spacing w:before="100" w:beforeAutospacing="1" w:after="100" w:afterAutospacing="1" w:line="240" w:lineRule="auto"/>
      <w:textAlignment w:val="top"/>
    </w:pPr>
    <w:rPr>
      <w:rFonts w:ascii="Garamond" w:hAnsi="Garamond"/>
      <w:sz w:val="24"/>
      <w:szCs w:val="24"/>
    </w:rPr>
  </w:style>
  <w:style w:type="paragraph" w:customStyle="1" w:styleId="xl111">
    <w:name w:val="xl111"/>
    <w:basedOn w:val="Normal"/>
    <w:rsid w:val="00187CD8"/>
    <w:pPr>
      <w:pBdr>
        <w:left w:val="single" w:sz="4" w:space="0" w:color="auto"/>
        <w:right w:val="single" w:sz="4" w:space="0" w:color="auto"/>
      </w:pBdr>
      <w:spacing w:before="100" w:beforeAutospacing="1" w:after="100" w:afterAutospacing="1" w:line="240" w:lineRule="auto"/>
      <w:textAlignment w:val="top"/>
    </w:pPr>
    <w:rPr>
      <w:rFonts w:ascii="Garamond" w:hAnsi="Garamond"/>
      <w:sz w:val="24"/>
      <w:szCs w:val="24"/>
    </w:rPr>
  </w:style>
  <w:style w:type="paragraph" w:customStyle="1" w:styleId="xl112">
    <w:name w:val="xl112"/>
    <w:basedOn w:val="Normal"/>
    <w:rsid w:val="00187CD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hAnsi="Garamond"/>
      <w:sz w:val="24"/>
      <w:szCs w:val="24"/>
    </w:rPr>
  </w:style>
  <w:style w:type="paragraph" w:customStyle="1" w:styleId="xl113">
    <w:name w:val="xl113"/>
    <w:basedOn w:val="Normal"/>
    <w:rsid w:val="00187CD8"/>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Garamond" w:hAnsi="Garamond"/>
      <w:sz w:val="24"/>
      <w:szCs w:val="24"/>
    </w:rPr>
  </w:style>
  <w:style w:type="paragraph" w:customStyle="1" w:styleId="xl114">
    <w:name w:val="xl114"/>
    <w:basedOn w:val="Normal"/>
    <w:rsid w:val="00187CD8"/>
    <w:pPr>
      <w:pBdr>
        <w:left w:val="single" w:sz="4" w:space="0" w:color="auto"/>
        <w:right w:val="single" w:sz="4" w:space="0" w:color="auto"/>
      </w:pBdr>
      <w:spacing w:before="100" w:beforeAutospacing="1" w:after="100" w:afterAutospacing="1" w:line="240" w:lineRule="auto"/>
    </w:pPr>
    <w:rPr>
      <w:rFonts w:ascii="Garamond" w:hAnsi="Garamond"/>
      <w:sz w:val="24"/>
      <w:szCs w:val="24"/>
    </w:rPr>
  </w:style>
  <w:style w:type="paragraph" w:customStyle="1" w:styleId="xl115">
    <w:name w:val="xl115"/>
    <w:basedOn w:val="Normal"/>
    <w:rsid w:val="00187CD8"/>
    <w:pPr>
      <w:pBdr>
        <w:top w:val="single" w:sz="4" w:space="0" w:color="auto"/>
        <w:left w:val="single" w:sz="4" w:space="0" w:color="auto"/>
        <w:right w:val="single" w:sz="4" w:space="0" w:color="auto"/>
      </w:pBdr>
      <w:shd w:val="clear" w:color="000000" w:fill="C4D79B"/>
      <w:spacing w:before="100" w:beforeAutospacing="1" w:after="100" w:afterAutospacing="1" w:line="240" w:lineRule="auto"/>
      <w:textAlignment w:val="top"/>
    </w:pPr>
    <w:rPr>
      <w:rFonts w:ascii="Garamond" w:hAnsi="Garamond"/>
      <w:b/>
      <w:bCs/>
      <w:sz w:val="24"/>
      <w:szCs w:val="24"/>
    </w:rPr>
  </w:style>
  <w:style w:type="paragraph" w:customStyle="1" w:styleId="xl116">
    <w:name w:val="xl116"/>
    <w:basedOn w:val="Normal"/>
    <w:rsid w:val="00187CD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Normal"/>
    <w:rsid w:val="00187CD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8">
    <w:name w:val="xl118"/>
    <w:basedOn w:val="Normal"/>
    <w:rsid w:val="00187CD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19">
    <w:name w:val="xl119"/>
    <w:basedOn w:val="Normal"/>
    <w:rsid w:val="00187CD8"/>
    <w:pPr>
      <w:pBdr>
        <w:top w:val="single" w:sz="4" w:space="0" w:color="auto"/>
        <w:left w:val="single" w:sz="4" w:space="0" w:color="auto"/>
        <w:right w:val="single" w:sz="4" w:space="0" w:color="auto"/>
      </w:pBdr>
      <w:shd w:val="clear" w:color="000000" w:fill="C4D79B"/>
      <w:spacing w:before="100" w:beforeAutospacing="1" w:after="100" w:afterAutospacing="1" w:line="240" w:lineRule="auto"/>
      <w:textAlignment w:val="top"/>
    </w:pPr>
    <w:rPr>
      <w:rFonts w:ascii="Garamond" w:hAnsi="Garamond"/>
      <w:b/>
      <w:bCs/>
      <w:sz w:val="24"/>
      <w:szCs w:val="24"/>
    </w:rPr>
  </w:style>
  <w:style w:type="paragraph" w:customStyle="1" w:styleId="xl120">
    <w:name w:val="xl120"/>
    <w:basedOn w:val="Normal"/>
    <w:rsid w:val="00187CD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Normal"/>
    <w:rsid w:val="00187CD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Normal"/>
    <w:rsid w:val="00187CD8"/>
    <w:pPr>
      <w:pBdr>
        <w:top w:val="single" w:sz="4" w:space="0" w:color="auto"/>
        <w:left w:val="single" w:sz="4" w:space="0" w:color="auto"/>
        <w:right w:val="single" w:sz="4" w:space="0" w:color="auto"/>
      </w:pBdr>
      <w:shd w:val="clear" w:color="000000" w:fill="C4D79B"/>
      <w:spacing w:before="100" w:beforeAutospacing="1" w:after="100" w:afterAutospacing="1" w:line="240" w:lineRule="auto"/>
      <w:textAlignment w:val="top"/>
    </w:pPr>
    <w:rPr>
      <w:rFonts w:ascii="Garamond" w:hAnsi="Garamond"/>
      <w:b/>
      <w:bCs/>
      <w:sz w:val="24"/>
      <w:szCs w:val="24"/>
    </w:rPr>
  </w:style>
  <w:style w:type="paragraph" w:customStyle="1" w:styleId="xl123">
    <w:name w:val="xl123"/>
    <w:basedOn w:val="Normal"/>
    <w:rsid w:val="00187CD8"/>
    <w:pPr>
      <w:pBdr>
        <w:top w:val="single" w:sz="4" w:space="0" w:color="auto"/>
        <w:left w:val="single" w:sz="4" w:space="0" w:color="auto"/>
        <w:right w:val="single" w:sz="4" w:space="0" w:color="auto"/>
      </w:pBdr>
      <w:shd w:val="clear" w:color="000000" w:fill="C4D79B"/>
      <w:spacing w:before="100" w:beforeAutospacing="1" w:after="100" w:afterAutospacing="1" w:line="240" w:lineRule="auto"/>
      <w:textAlignment w:val="top"/>
    </w:pPr>
    <w:rPr>
      <w:rFonts w:ascii="Garamond" w:hAnsi="Garamond"/>
      <w:sz w:val="24"/>
      <w:szCs w:val="24"/>
    </w:rPr>
  </w:style>
  <w:style w:type="paragraph" w:customStyle="1" w:styleId="xl124">
    <w:name w:val="xl124"/>
    <w:basedOn w:val="Normal"/>
    <w:rsid w:val="00187CD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Normal"/>
    <w:rsid w:val="00187CD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6">
    <w:name w:val="xl126"/>
    <w:basedOn w:val="Normal"/>
    <w:rsid w:val="00187CD8"/>
    <w:pPr>
      <w:pBdr>
        <w:left w:val="single" w:sz="4" w:space="0" w:color="auto"/>
        <w:right w:val="single" w:sz="4" w:space="0" w:color="auto"/>
      </w:pBdr>
      <w:shd w:val="clear" w:color="000000" w:fill="DCE6F1"/>
      <w:spacing w:before="100" w:beforeAutospacing="1" w:after="100" w:afterAutospacing="1" w:line="240" w:lineRule="auto"/>
      <w:textAlignment w:val="top"/>
    </w:pPr>
    <w:rPr>
      <w:rFonts w:ascii="Garamond" w:hAnsi="Garamond"/>
      <w:b/>
      <w:bCs/>
      <w:sz w:val="24"/>
      <w:szCs w:val="24"/>
    </w:rPr>
  </w:style>
  <w:style w:type="paragraph" w:customStyle="1" w:styleId="xl127">
    <w:name w:val="xl127"/>
    <w:basedOn w:val="Normal"/>
    <w:rsid w:val="00187CD8"/>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Garamond" w:hAnsi="Garamond"/>
      <w:b/>
      <w:bCs/>
      <w:sz w:val="24"/>
      <w:szCs w:val="24"/>
    </w:rPr>
  </w:style>
  <w:style w:type="paragraph" w:customStyle="1" w:styleId="xl128">
    <w:name w:val="xl128"/>
    <w:basedOn w:val="Normal"/>
    <w:rsid w:val="00187CD8"/>
    <w:pPr>
      <w:pBdr>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Garamond" w:hAnsi="Garamond"/>
      <w:b/>
      <w:bCs/>
      <w:sz w:val="24"/>
      <w:szCs w:val="24"/>
    </w:rPr>
  </w:style>
  <w:style w:type="paragraph" w:customStyle="1" w:styleId="xl129">
    <w:name w:val="xl129"/>
    <w:basedOn w:val="Normal"/>
    <w:rsid w:val="00187CD8"/>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Garamond" w:hAnsi="Garamond"/>
      <w:b/>
      <w:bCs/>
      <w:sz w:val="24"/>
      <w:szCs w:val="24"/>
    </w:rPr>
  </w:style>
  <w:style w:type="paragraph" w:customStyle="1" w:styleId="xl130">
    <w:name w:val="xl130"/>
    <w:basedOn w:val="Normal"/>
    <w:rsid w:val="00187CD8"/>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Garamond" w:hAnsi="Garamond"/>
      <w:sz w:val="24"/>
      <w:szCs w:val="24"/>
    </w:rPr>
  </w:style>
  <w:style w:type="paragraph" w:customStyle="1" w:styleId="xl131">
    <w:name w:val="xl131"/>
    <w:basedOn w:val="Normal"/>
    <w:rsid w:val="00187CD8"/>
    <w:pPr>
      <w:pBdr>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Garamond" w:hAnsi="Garamond"/>
      <w:sz w:val="24"/>
      <w:szCs w:val="24"/>
    </w:rPr>
  </w:style>
  <w:style w:type="paragraph" w:customStyle="1" w:styleId="xl132">
    <w:name w:val="xl132"/>
    <w:basedOn w:val="Normal"/>
    <w:rsid w:val="00187CD8"/>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Garamond" w:hAnsi="Garamond"/>
      <w:sz w:val="24"/>
      <w:szCs w:val="24"/>
    </w:rPr>
  </w:style>
  <w:style w:type="paragraph" w:customStyle="1" w:styleId="xl133">
    <w:name w:val="xl133"/>
    <w:basedOn w:val="Normal"/>
    <w:rsid w:val="00187CD8"/>
    <w:pPr>
      <w:pBdr>
        <w:left w:val="single" w:sz="4" w:space="0" w:color="auto"/>
        <w:right w:val="single" w:sz="4" w:space="0" w:color="auto"/>
      </w:pBdr>
      <w:shd w:val="clear" w:color="000000" w:fill="DCE6F1"/>
      <w:spacing w:before="100" w:beforeAutospacing="1" w:after="100" w:afterAutospacing="1" w:line="240" w:lineRule="auto"/>
      <w:textAlignment w:val="top"/>
    </w:pPr>
    <w:rPr>
      <w:rFonts w:ascii="Garamond" w:hAnsi="Garamond"/>
      <w:b/>
      <w:bCs/>
      <w:sz w:val="24"/>
      <w:szCs w:val="24"/>
    </w:rPr>
  </w:style>
  <w:style w:type="paragraph" w:customStyle="1" w:styleId="xl134">
    <w:name w:val="xl134"/>
    <w:basedOn w:val="Normal"/>
    <w:rsid w:val="00187CD8"/>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Garamond" w:hAnsi="Garamond"/>
      <w:b/>
      <w:bCs/>
      <w:sz w:val="24"/>
      <w:szCs w:val="24"/>
    </w:rPr>
  </w:style>
  <w:style w:type="paragraph" w:customStyle="1" w:styleId="xl135">
    <w:name w:val="xl135"/>
    <w:basedOn w:val="Normal"/>
    <w:rsid w:val="00187CD8"/>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6">
    <w:name w:val="xl136"/>
    <w:basedOn w:val="Normal"/>
    <w:rsid w:val="00187CD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7">
    <w:name w:val="xl137"/>
    <w:basedOn w:val="Normal"/>
    <w:rsid w:val="00187CD8"/>
    <w:pPr>
      <w:pBdr>
        <w:top w:val="single" w:sz="4" w:space="0" w:color="auto"/>
        <w:left w:val="single" w:sz="4" w:space="0" w:color="auto"/>
        <w:right w:val="single" w:sz="4" w:space="0" w:color="auto"/>
      </w:pBdr>
      <w:shd w:val="clear" w:color="000000" w:fill="C4D79B"/>
      <w:spacing w:before="100" w:beforeAutospacing="1" w:after="100" w:afterAutospacing="1" w:line="240" w:lineRule="auto"/>
      <w:textAlignment w:val="top"/>
    </w:pPr>
    <w:rPr>
      <w:rFonts w:ascii="Garamond" w:hAnsi="Garamond"/>
      <w:b/>
      <w:bCs/>
      <w:color w:val="00B050"/>
      <w:sz w:val="24"/>
      <w:szCs w:val="24"/>
    </w:rPr>
  </w:style>
  <w:style w:type="paragraph" w:customStyle="1" w:styleId="xl138">
    <w:name w:val="xl138"/>
    <w:basedOn w:val="Normal"/>
    <w:rsid w:val="00187CD8"/>
    <w:pPr>
      <w:pBdr>
        <w:top w:val="single" w:sz="4" w:space="0" w:color="auto"/>
        <w:left w:val="single" w:sz="4" w:space="0" w:color="auto"/>
        <w:right w:val="single" w:sz="4" w:space="0" w:color="auto"/>
      </w:pBdr>
      <w:shd w:val="clear" w:color="000000" w:fill="C4D79B"/>
      <w:spacing w:before="100" w:beforeAutospacing="1" w:after="100" w:afterAutospacing="1" w:line="240" w:lineRule="auto"/>
      <w:textAlignment w:val="top"/>
    </w:pPr>
    <w:rPr>
      <w:rFonts w:ascii="Garamond" w:hAnsi="Garamond"/>
      <w:b/>
      <w:bCs/>
      <w:color w:val="00B050"/>
      <w:sz w:val="24"/>
      <w:szCs w:val="24"/>
    </w:rPr>
  </w:style>
  <w:style w:type="paragraph" w:customStyle="1" w:styleId="xl139">
    <w:name w:val="xl139"/>
    <w:basedOn w:val="Normal"/>
    <w:rsid w:val="00187CD8"/>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Garamond" w:hAnsi="Garamond"/>
      <w:sz w:val="24"/>
      <w:szCs w:val="24"/>
    </w:rPr>
  </w:style>
  <w:style w:type="paragraph" w:customStyle="1" w:styleId="xl140">
    <w:name w:val="xl140"/>
    <w:basedOn w:val="Normal"/>
    <w:rsid w:val="00187CD8"/>
    <w:pPr>
      <w:pBdr>
        <w:top w:val="single" w:sz="4" w:space="0" w:color="auto"/>
        <w:right w:val="single" w:sz="4" w:space="0" w:color="auto"/>
      </w:pBdr>
      <w:shd w:val="clear" w:color="000000" w:fill="DCE6F1"/>
      <w:spacing w:before="100" w:beforeAutospacing="1" w:after="100" w:afterAutospacing="1" w:line="240" w:lineRule="auto"/>
      <w:textAlignment w:val="top"/>
    </w:pPr>
    <w:rPr>
      <w:rFonts w:ascii="Garamond" w:hAnsi="Garamond"/>
      <w:sz w:val="24"/>
      <w:szCs w:val="24"/>
    </w:rPr>
  </w:style>
  <w:style w:type="paragraph" w:customStyle="1" w:styleId="xl141">
    <w:name w:val="xl141"/>
    <w:basedOn w:val="Normal"/>
    <w:rsid w:val="00187CD8"/>
    <w:pPr>
      <w:pBdr>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Normal"/>
    <w:rsid w:val="00187CD8"/>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3">
    <w:name w:val="xl143"/>
    <w:basedOn w:val="Normal"/>
    <w:rsid w:val="00187CD8"/>
    <w:pPr>
      <w:pBdr>
        <w:top w:val="single" w:sz="4" w:space="0" w:color="auto"/>
        <w:left w:val="single" w:sz="4" w:space="0" w:color="auto"/>
        <w:right w:val="single" w:sz="4" w:space="0" w:color="auto"/>
      </w:pBdr>
      <w:spacing w:before="100" w:beforeAutospacing="1" w:after="100" w:afterAutospacing="1" w:line="240" w:lineRule="auto"/>
    </w:pPr>
    <w:rPr>
      <w:rFonts w:ascii="Garamond" w:hAnsi="Garamond"/>
      <w:b/>
      <w:bCs/>
      <w:sz w:val="24"/>
      <w:szCs w:val="24"/>
    </w:rPr>
  </w:style>
  <w:style w:type="paragraph" w:customStyle="1" w:styleId="xl144">
    <w:name w:val="xl144"/>
    <w:basedOn w:val="Normal"/>
    <w:rsid w:val="00187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hAnsi="Garamond"/>
      <w:sz w:val="24"/>
      <w:szCs w:val="24"/>
    </w:rPr>
  </w:style>
  <w:style w:type="paragraph" w:customStyle="1" w:styleId="xl145">
    <w:name w:val="xl145"/>
    <w:basedOn w:val="Normal"/>
    <w:rsid w:val="00187CD8"/>
    <w:pPr>
      <w:spacing w:before="100" w:beforeAutospacing="1" w:after="100" w:afterAutospacing="1" w:line="240" w:lineRule="auto"/>
    </w:pPr>
    <w:rPr>
      <w:rFonts w:ascii="Garamond" w:hAnsi="Garamond"/>
      <w:sz w:val="24"/>
      <w:szCs w:val="24"/>
    </w:rPr>
  </w:style>
  <w:style w:type="paragraph" w:styleId="TableofFigures">
    <w:name w:val="table of figures"/>
    <w:basedOn w:val="Normal"/>
    <w:next w:val="Normal"/>
    <w:uiPriority w:val="99"/>
    <w:unhideWhenUsed/>
    <w:rsid w:val="00E10145"/>
    <w:pPr>
      <w:spacing w:after="0"/>
    </w:pPr>
  </w:style>
  <w:style w:type="character" w:customStyle="1" w:styleId="A3">
    <w:name w:val="A3"/>
    <w:uiPriority w:val="99"/>
    <w:rsid w:val="0039194E"/>
    <w:rPr>
      <w:rFonts w:cs="Frutiger LT Std 45 Light"/>
      <w:color w:val="000000"/>
      <w:sz w:val="19"/>
      <w:szCs w:val="19"/>
    </w:rPr>
  </w:style>
  <w:style w:type="character" w:customStyle="1" w:styleId="A0">
    <w:name w:val="A0"/>
    <w:uiPriority w:val="99"/>
    <w:rsid w:val="006C4F16"/>
    <w:rPr>
      <w:rFonts w:cs="Frutiger LT Std 45 Light"/>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6404">
      <w:bodyDiv w:val="1"/>
      <w:marLeft w:val="0"/>
      <w:marRight w:val="0"/>
      <w:marTop w:val="0"/>
      <w:marBottom w:val="0"/>
      <w:divBdr>
        <w:top w:val="none" w:sz="0" w:space="0" w:color="auto"/>
        <w:left w:val="none" w:sz="0" w:space="0" w:color="auto"/>
        <w:bottom w:val="none" w:sz="0" w:space="0" w:color="auto"/>
        <w:right w:val="none" w:sz="0" w:space="0" w:color="auto"/>
      </w:divBdr>
    </w:div>
    <w:div w:id="184833497">
      <w:bodyDiv w:val="1"/>
      <w:marLeft w:val="0"/>
      <w:marRight w:val="0"/>
      <w:marTop w:val="0"/>
      <w:marBottom w:val="0"/>
      <w:divBdr>
        <w:top w:val="none" w:sz="0" w:space="0" w:color="auto"/>
        <w:left w:val="none" w:sz="0" w:space="0" w:color="auto"/>
        <w:bottom w:val="none" w:sz="0" w:space="0" w:color="auto"/>
        <w:right w:val="none" w:sz="0" w:space="0" w:color="auto"/>
      </w:divBdr>
      <w:divsChild>
        <w:div w:id="1522739837">
          <w:marLeft w:val="360"/>
          <w:marRight w:val="0"/>
          <w:marTop w:val="200"/>
          <w:marBottom w:val="0"/>
          <w:divBdr>
            <w:top w:val="none" w:sz="0" w:space="0" w:color="auto"/>
            <w:left w:val="none" w:sz="0" w:space="0" w:color="auto"/>
            <w:bottom w:val="none" w:sz="0" w:space="0" w:color="auto"/>
            <w:right w:val="none" w:sz="0" w:space="0" w:color="auto"/>
          </w:divBdr>
        </w:div>
        <w:div w:id="88625032">
          <w:marLeft w:val="360"/>
          <w:marRight w:val="0"/>
          <w:marTop w:val="200"/>
          <w:marBottom w:val="0"/>
          <w:divBdr>
            <w:top w:val="none" w:sz="0" w:space="0" w:color="auto"/>
            <w:left w:val="none" w:sz="0" w:space="0" w:color="auto"/>
            <w:bottom w:val="none" w:sz="0" w:space="0" w:color="auto"/>
            <w:right w:val="none" w:sz="0" w:space="0" w:color="auto"/>
          </w:divBdr>
        </w:div>
        <w:div w:id="1294822178">
          <w:marLeft w:val="360"/>
          <w:marRight w:val="0"/>
          <w:marTop w:val="200"/>
          <w:marBottom w:val="0"/>
          <w:divBdr>
            <w:top w:val="none" w:sz="0" w:space="0" w:color="auto"/>
            <w:left w:val="none" w:sz="0" w:space="0" w:color="auto"/>
            <w:bottom w:val="none" w:sz="0" w:space="0" w:color="auto"/>
            <w:right w:val="none" w:sz="0" w:space="0" w:color="auto"/>
          </w:divBdr>
        </w:div>
        <w:div w:id="819272673">
          <w:marLeft w:val="360"/>
          <w:marRight w:val="0"/>
          <w:marTop w:val="200"/>
          <w:marBottom w:val="0"/>
          <w:divBdr>
            <w:top w:val="none" w:sz="0" w:space="0" w:color="auto"/>
            <w:left w:val="none" w:sz="0" w:space="0" w:color="auto"/>
            <w:bottom w:val="none" w:sz="0" w:space="0" w:color="auto"/>
            <w:right w:val="none" w:sz="0" w:space="0" w:color="auto"/>
          </w:divBdr>
        </w:div>
      </w:divsChild>
    </w:div>
    <w:div w:id="513113038">
      <w:bodyDiv w:val="1"/>
      <w:marLeft w:val="0"/>
      <w:marRight w:val="0"/>
      <w:marTop w:val="0"/>
      <w:marBottom w:val="0"/>
      <w:divBdr>
        <w:top w:val="none" w:sz="0" w:space="0" w:color="auto"/>
        <w:left w:val="none" w:sz="0" w:space="0" w:color="auto"/>
        <w:bottom w:val="none" w:sz="0" w:space="0" w:color="auto"/>
        <w:right w:val="none" w:sz="0" w:space="0" w:color="auto"/>
      </w:divBdr>
    </w:div>
    <w:div w:id="523059147">
      <w:bodyDiv w:val="1"/>
      <w:marLeft w:val="0"/>
      <w:marRight w:val="0"/>
      <w:marTop w:val="0"/>
      <w:marBottom w:val="0"/>
      <w:divBdr>
        <w:top w:val="none" w:sz="0" w:space="0" w:color="auto"/>
        <w:left w:val="none" w:sz="0" w:space="0" w:color="auto"/>
        <w:bottom w:val="none" w:sz="0" w:space="0" w:color="auto"/>
        <w:right w:val="none" w:sz="0" w:space="0" w:color="auto"/>
      </w:divBdr>
    </w:div>
    <w:div w:id="1187673810">
      <w:bodyDiv w:val="1"/>
      <w:marLeft w:val="0"/>
      <w:marRight w:val="0"/>
      <w:marTop w:val="0"/>
      <w:marBottom w:val="0"/>
      <w:divBdr>
        <w:top w:val="none" w:sz="0" w:space="0" w:color="auto"/>
        <w:left w:val="none" w:sz="0" w:space="0" w:color="auto"/>
        <w:bottom w:val="none" w:sz="0" w:space="0" w:color="auto"/>
        <w:right w:val="none" w:sz="0" w:space="0" w:color="auto"/>
      </w:divBdr>
    </w:div>
    <w:div w:id="1611163489">
      <w:bodyDiv w:val="1"/>
      <w:marLeft w:val="0"/>
      <w:marRight w:val="0"/>
      <w:marTop w:val="0"/>
      <w:marBottom w:val="0"/>
      <w:divBdr>
        <w:top w:val="none" w:sz="0" w:space="0" w:color="auto"/>
        <w:left w:val="none" w:sz="0" w:space="0" w:color="auto"/>
        <w:bottom w:val="none" w:sz="0" w:space="0" w:color="auto"/>
        <w:right w:val="none" w:sz="0" w:space="0" w:color="auto"/>
      </w:divBdr>
    </w:div>
    <w:div w:id="17449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chart" Target="charts/chart9.xml"/><Relationship Id="rId39" Type="http://schemas.openxmlformats.org/officeDocument/2006/relationships/chart" Target="charts/chart21.xml"/><Relationship Id="rId21" Type="http://schemas.openxmlformats.org/officeDocument/2006/relationships/chart" Target="charts/chart4.xml"/><Relationship Id="rId34" Type="http://schemas.openxmlformats.org/officeDocument/2006/relationships/chart" Target="charts/chart16.xml"/><Relationship Id="rId42" Type="http://schemas.openxmlformats.org/officeDocument/2006/relationships/chart" Target="charts/chart23.xml"/><Relationship Id="rId47" Type="http://schemas.openxmlformats.org/officeDocument/2006/relationships/hyperlink" Target="mailto:Terhi.LEHTINEN@eeas.europa.eu" TargetMode="External"/><Relationship Id="rId50" Type="http://schemas.openxmlformats.org/officeDocument/2006/relationships/hyperlink" Target="mailto:Lulu.likassa.nefabas@mfa.no" TargetMode="External"/><Relationship Id="rId55" Type="http://schemas.openxmlformats.org/officeDocument/2006/relationships/hyperlink" Target="mailto:eyilma@usaid.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image" Target="media/image9.png"/><Relationship Id="rId11" Type="http://schemas.openxmlformats.org/officeDocument/2006/relationships/image" Target="media/image2.emf"/><Relationship Id="rId24" Type="http://schemas.openxmlformats.org/officeDocument/2006/relationships/chart" Target="charts/chart7.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image" Target="media/image10.png"/><Relationship Id="rId45" Type="http://schemas.openxmlformats.org/officeDocument/2006/relationships/hyperlink" Target="mailto:e.sennoga@afdb.org" TargetMode="External"/><Relationship Id="rId53" Type="http://schemas.openxmlformats.org/officeDocument/2006/relationships/hyperlink" Target="mailto:smorin@usaid.gov" TargetMode="External"/><Relationship Id="rId58" Type="http://schemas.openxmlformats.org/officeDocument/2006/relationships/hyperlink" Target="mailto:sdamte@usaid.gov"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chart" Target="charts/chart3.xml"/><Relationship Id="rId14" Type="http://schemas.openxmlformats.org/officeDocument/2006/relationships/image" Target="media/image5.pn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4.xml"/><Relationship Id="rId48" Type="http://schemas.openxmlformats.org/officeDocument/2006/relationships/hyperlink" Target="mailto:Morten.Heide@mfa.no" TargetMode="External"/><Relationship Id="rId56" Type="http://schemas.openxmlformats.org/officeDocument/2006/relationships/hyperlink" Target="mailto:wbutterfiled@usaid.gov" TargetMode="External"/><Relationship Id="rId8" Type="http://schemas.openxmlformats.org/officeDocument/2006/relationships/hyperlink" Target="mailto:tadeleferede@yahoo.com" TargetMode="External"/><Relationship Id="rId51" Type="http://schemas.openxmlformats.org/officeDocument/2006/relationships/hyperlink" Target="mailto:Tsehay.ataklt.hailemichael@mfa.no"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chart" Target="charts/chart8.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hyperlink" Target="mailto:c-bell@dfid.gov.uk" TargetMode="External"/><Relationship Id="rId59" Type="http://schemas.openxmlformats.org/officeDocument/2006/relationships/footer" Target="footer1.xml"/><Relationship Id="rId20" Type="http://schemas.openxmlformats.org/officeDocument/2006/relationships/image" Target="media/image8.png"/><Relationship Id="rId41" Type="http://schemas.openxmlformats.org/officeDocument/2006/relationships/chart" Target="charts/chart22.xml"/><Relationship Id="rId54" Type="http://schemas.openxmlformats.org/officeDocument/2006/relationships/hyperlink" Target="mailto:kbeard@usaid.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chart" Target="charts/chart18.xml"/><Relationship Id="rId49" Type="http://schemas.openxmlformats.org/officeDocument/2006/relationships/hyperlink" Target="mailto:Marianne.johansen@mfa.no" TargetMode="External"/><Relationship Id="rId57" Type="http://schemas.openxmlformats.org/officeDocument/2006/relationships/hyperlink" Target="mailto:rlopez@usaid.gov" TargetMode="External"/><Relationship Id="rId10" Type="http://schemas.openxmlformats.org/officeDocument/2006/relationships/image" Target="media/image1.png"/><Relationship Id="rId31" Type="http://schemas.openxmlformats.org/officeDocument/2006/relationships/chart" Target="charts/chart13.xml"/><Relationship Id="rId44" Type="http://schemas.openxmlformats.org/officeDocument/2006/relationships/image" Target="media/image11.png"/><Relationship Id="rId52" Type="http://schemas.openxmlformats.org/officeDocument/2006/relationships/hyperlink" Target="mailto:Sisay.nune.hailemariam@mfa.no"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dele.ferede@aau.edu.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nvestethiopia.gov.et/investment-opportunities/strategic-sectors/industry-zone-development" TargetMode="External"/><Relationship Id="rId1" Type="http://schemas.openxmlformats.org/officeDocument/2006/relationships/hyperlink" Target="http://web.undp.org/thenewpublicfinance/index.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UNDP-CRGE\Govfinance-sep%202015%20xls.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UNDP-CRGE\Committment%20and%20disbursement%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UNDP-CRGE\Forcasting%20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UNDP-CRGE\DFA%20and%20MEFF\MFI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UNDP-CRGE\DFA%20and%20MEFF\MFI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UNDP-CRGE\Govfinance-sep%202015%20xls.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UNDP-CRGE\V.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UNDP-CRGE\Data%20Given%20to%20Dr.%20Tadele%20Ferede%20Tir%2019%20200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UNDP-CRGE\Committment%20and%20disbursement%20da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UNDP-CRGE\Govfinance-sep%202015%20xls.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UNDP-CRGE\Committment%20and%20disbursement%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UNDP-CRGE\Govfinance-sep%202015%20xls.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UNDP-CRGE\Govfinance-sep%202015%20xls.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UNDP-CRGE\FDI%20Data.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G:\UNDP-CRGE\International_LPI_from_2007_to_2016.xlsx"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file:///E:\UNDP-CRGE\DFA%20and%20MEFF\Data%20given%20to%20Dr.%20Tadle%20through%20%20Hinjat%20imported%20%20and%20sent%20%20on%20sene%205%202009.xlsx" TargetMode="External"/><Relationship Id="rId2" Type="http://schemas.microsoft.com/office/2011/relationships/chartColorStyle" Target="colors1.xml"/><Relationship Id="rId1" Type="http://schemas.microsoft.com/office/2011/relationships/chartStyle" Target="style1.xml"/></Relationships>
</file>

<file path=word/charts/_rels/chart24.xml.rels><?xml version="1.0" encoding="UTF-8" standalone="yes"?>
<Relationships xmlns="http://schemas.openxmlformats.org/package/2006/relationships"><Relationship Id="rId3" Type="http://schemas.openxmlformats.org/officeDocument/2006/relationships/oleObject" Target="file:///E:\UNDP-CRGE\DFA%20and%20MEFF\Data%20given%20to%20Dr.%20Tadle%20through%20%20Hinjat%20imported%20%20and%20sent%20%20on%20sene%205%20200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F:\UNDP-CRGE\Govfinance-sep%202015%20xl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UNDP-CRGE\Govfinance-sep%202015%20xl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UNDP-CRGE\Govfinance-sep%202015%20xl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UNDP-CRGE\Revenue%20foregon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UNDP-CRGE\Illicit%20FF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UNDP-CRGE\Forcasting%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UNDP-CRGE\Forcasting%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'GTP-II'!$A$3</c:f>
              <c:strCache>
                <c:ptCount val="1"/>
                <c:pt idx="0">
                  <c:v>Infrastructure </c:v>
                </c:pt>
              </c:strCache>
            </c:strRef>
          </c:tx>
          <c:spPr>
            <a:solidFill>
              <a:schemeClr val="accent1"/>
            </a:solidFill>
            <a:ln>
              <a:noFill/>
            </a:ln>
            <a:effectLst/>
            <a:sp3d/>
          </c:spPr>
          <c:invertIfNegative val="0"/>
          <c:cat>
            <c:strRef>
              <c:f>'GTP-II'!$B$2:$G$2</c:f>
              <c:strCache>
                <c:ptCount val="6"/>
                <c:pt idx="0">
                  <c:v>2015/16 </c:v>
                </c:pt>
                <c:pt idx="1">
                  <c:v>2016/17</c:v>
                </c:pt>
                <c:pt idx="2">
                  <c:v>2017/18 </c:v>
                </c:pt>
                <c:pt idx="3">
                  <c:v>2018/19</c:v>
                </c:pt>
                <c:pt idx="4">
                  <c:v>2019/20</c:v>
                </c:pt>
                <c:pt idx="5">
                  <c:v>2015/16-2019/20</c:v>
                </c:pt>
              </c:strCache>
            </c:strRef>
          </c:cat>
          <c:val>
            <c:numRef>
              <c:f>'GTP-II'!$B$3:$G$3</c:f>
              <c:numCache>
                <c:formatCode>General</c:formatCode>
                <c:ptCount val="6"/>
                <c:pt idx="0">
                  <c:v>52.8</c:v>
                </c:pt>
                <c:pt idx="1">
                  <c:v>46.3</c:v>
                </c:pt>
                <c:pt idx="2">
                  <c:v>48.9</c:v>
                </c:pt>
                <c:pt idx="3">
                  <c:v>47.7</c:v>
                </c:pt>
                <c:pt idx="4">
                  <c:v>48</c:v>
                </c:pt>
                <c:pt idx="5">
                  <c:v>48.4</c:v>
                </c:pt>
              </c:numCache>
            </c:numRef>
          </c:val>
          <c:extLst>
            <c:ext xmlns:c16="http://schemas.microsoft.com/office/drawing/2014/chart" uri="{C3380CC4-5D6E-409C-BE32-E72D297353CC}">
              <c16:uniqueId val="{00000000-5350-4C42-A5B9-9ACD266449F7}"/>
            </c:ext>
          </c:extLst>
        </c:ser>
        <c:ser>
          <c:idx val="1"/>
          <c:order val="1"/>
          <c:tx>
            <c:strRef>
              <c:f>'GTP-II'!$A$4</c:f>
              <c:strCache>
                <c:ptCount val="1"/>
                <c:pt idx="0">
                  <c:v>Human resource development and Technological capacity building </c:v>
                </c:pt>
              </c:strCache>
            </c:strRef>
          </c:tx>
          <c:spPr>
            <a:solidFill>
              <a:schemeClr val="accent2"/>
            </a:solidFill>
            <a:ln>
              <a:noFill/>
            </a:ln>
            <a:effectLst/>
            <a:sp3d/>
          </c:spPr>
          <c:invertIfNegative val="0"/>
          <c:cat>
            <c:strRef>
              <c:f>'GTP-II'!$B$2:$G$2</c:f>
              <c:strCache>
                <c:ptCount val="6"/>
                <c:pt idx="0">
                  <c:v>2015/16 </c:v>
                </c:pt>
                <c:pt idx="1">
                  <c:v>2016/17</c:v>
                </c:pt>
                <c:pt idx="2">
                  <c:v>2017/18 </c:v>
                </c:pt>
                <c:pt idx="3">
                  <c:v>2018/19</c:v>
                </c:pt>
                <c:pt idx="4">
                  <c:v>2019/20</c:v>
                </c:pt>
                <c:pt idx="5">
                  <c:v>2015/16-2019/20</c:v>
                </c:pt>
              </c:strCache>
            </c:strRef>
          </c:cat>
          <c:val>
            <c:numRef>
              <c:f>'GTP-II'!$B$4:$G$4</c:f>
              <c:numCache>
                <c:formatCode>General</c:formatCode>
                <c:ptCount val="6"/>
                <c:pt idx="0">
                  <c:v>27.4</c:v>
                </c:pt>
                <c:pt idx="1">
                  <c:v>30.9</c:v>
                </c:pt>
                <c:pt idx="2">
                  <c:v>27.8</c:v>
                </c:pt>
                <c:pt idx="3">
                  <c:v>28.2</c:v>
                </c:pt>
                <c:pt idx="4">
                  <c:v>28.3</c:v>
                </c:pt>
                <c:pt idx="5">
                  <c:v>28.5</c:v>
                </c:pt>
              </c:numCache>
            </c:numRef>
          </c:val>
          <c:extLst>
            <c:ext xmlns:c16="http://schemas.microsoft.com/office/drawing/2014/chart" uri="{C3380CC4-5D6E-409C-BE32-E72D297353CC}">
              <c16:uniqueId val="{00000001-5350-4C42-A5B9-9ACD266449F7}"/>
            </c:ext>
          </c:extLst>
        </c:ser>
        <c:ser>
          <c:idx val="2"/>
          <c:order val="2"/>
          <c:tx>
            <c:strRef>
              <c:f>'GTP-II'!$A$5</c:f>
              <c:strCache>
                <c:ptCount val="1"/>
                <c:pt idx="0">
                  <c:v>Economic sector   </c:v>
                </c:pt>
              </c:strCache>
            </c:strRef>
          </c:tx>
          <c:spPr>
            <a:solidFill>
              <a:schemeClr val="accent3"/>
            </a:solidFill>
            <a:ln>
              <a:noFill/>
            </a:ln>
            <a:effectLst/>
            <a:sp3d/>
          </c:spPr>
          <c:invertIfNegative val="0"/>
          <c:cat>
            <c:strRef>
              <c:f>'GTP-II'!$B$2:$G$2</c:f>
              <c:strCache>
                <c:ptCount val="6"/>
                <c:pt idx="0">
                  <c:v>2015/16 </c:v>
                </c:pt>
                <c:pt idx="1">
                  <c:v>2016/17</c:v>
                </c:pt>
                <c:pt idx="2">
                  <c:v>2017/18 </c:v>
                </c:pt>
                <c:pt idx="3">
                  <c:v>2018/19</c:v>
                </c:pt>
                <c:pt idx="4">
                  <c:v>2019/20</c:v>
                </c:pt>
                <c:pt idx="5">
                  <c:v>2015/16-2019/20</c:v>
                </c:pt>
              </c:strCache>
            </c:strRef>
          </c:cat>
          <c:val>
            <c:numRef>
              <c:f>'GTP-II'!$B$5:$G$5</c:f>
              <c:numCache>
                <c:formatCode>General</c:formatCode>
                <c:ptCount val="6"/>
                <c:pt idx="0">
                  <c:v>17</c:v>
                </c:pt>
                <c:pt idx="1">
                  <c:v>19.899999999999999</c:v>
                </c:pt>
                <c:pt idx="2">
                  <c:v>20</c:v>
                </c:pt>
                <c:pt idx="3">
                  <c:v>21</c:v>
                </c:pt>
                <c:pt idx="4">
                  <c:v>21.1</c:v>
                </c:pt>
                <c:pt idx="5">
                  <c:v>20.3</c:v>
                </c:pt>
              </c:numCache>
            </c:numRef>
          </c:val>
          <c:extLst>
            <c:ext xmlns:c16="http://schemas.microsoft.com/office/drawing/2014/chart" uri="{C3380CC4-5D6E-409C-BE32-E72D297353CC}">
              <c16:uniqueId val="{00000002-5350-4C42-A5B9-9ACD266449F7}"/>
            </c:ext>
          </c:extLst>
        </c:ser>
        <c:ser>
          <c:idx val="3"/>
          <c:order val="3"/>
          <c:tx>
            <c:strRef>
              <c:f>'GTP-II'!$A$6</c:f>
              <c:strCache>
                <c:ptCount val="1"/>
                <c:pt idx="0">
                  <c:v>Others </c:v>
                </c:pt>
              </c:strCache>
            </c:strRef>
          </c:tx>
          <c:spPr>
            <a:solidFill>
              <a:schemeClr val="accent4"/>
            </a:solidFill>
            <a:ln>
              <a:noFill/>
            </a:ln>
            <a:effectLst/>
            <a:sp3d/>
          </c:spPr>
          <c:invertIfNegative val="0"/>
          <c:cat>
            <c:strRef>
              <c:f>'GTP-II'!$B$2:$G$2</c:f>
              <c:strCache>
                <c:ptCount val="6"/>
                <c:pt idx="0">
                  <c:v>2015/16 </c:v>
                </c:pt>
                <c:pt idx="1">
                  <c:v>2016/17</c:v>
                </c:pt>
                <c:pt idx="2">
                  <c:v>2017/18 </c:v>
                </c:pt>
                <c:pt idx="3">
                  <c:v>2018/19</c:v>
                </c:pt>
                <c:pt idx="4">
                  <c:v>2019/20</c:v>
                </c:pt>
                <c:pt idx="5">
                  <c:v>2015/16-2019/20</c:v>
                </c:pt>
              </c:strCache>
            </c:strRef>
          </c:cat>
          <c:val>
            <c:numRef>
              <c:f>'GTP-II'!$B$6:$G$6</c:f>
              <c:numCache>
                <c:formatCode>General</c:formatCode>
                <c:ptCount val="6"/>
                <c:pt idx="0">
                  <c:v>2.8</c:v>
                </c:pt>
                <c:pt idx="1">
                  <c:v>2.9</c:v>
                </c:pt>
                <c:pt idx="2">
                  <c:v>3.4</c:v>
                </c:pt>
                <c:pt idx="3">
                  <c:v>3.1</c:v>
                </c:pt>
                <c:pt idx="4">
                  <c:v>2.6</c:v>
                </c:pt>
                <c:pt idx="5">
                  <c:v>2.8</c:v>
                </c:pt>
              </c:numCache>
            </c:numRef>
          </c:val>
          <c:extLst>
            <c:ext xmlns:c16="http://schemas.microsoft.com/office/drawing/2014/chart" uri="{C3380CC4-5D6E-409C-BE32-E72D297353CC}">
              <c16:uniqueId val="{00000003-5350-4C42-A5B9-9ACD266449F7}"/>
            </c:ext>
          </c:extLst>
        </c:ser>
        <c:dLbls>
          <c:showLegendKey val="0"/>
          <c:showVal val="0"/>
          <c:showCatName val="0"/>
          <c:showSerName val="0"/>
          <c:showPercent val="0"/>
          <c:showBubbleSize val="0"/>
        </c:dLbls>
        <c:gapWidth val="150"/>
        <c:shape val="box"/>
        <c:axId val="-2133942920"/>
        <c:axId val="2094902952"/>
        <c:axId val="0"/>
      </c:bar3DChart>
      <c:catAx>
        <c:axId val="-2133942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094902952"/>
        <c:crosses val="autoZero"/>
        <c:auto val="1"/>
        <c:lblAlgn val="ctr"/>
        <c:lblOffset val="100"/>
        <c:noMultiLvlLbl val="0"/>
      </c:catAx>
      <c:valAx>
        <c:axId val="20949029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339429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Loans!$A$12</c:f>
              <c:strCache>
                <c:ptCount val="1"/>
                <c:pt idx="0">
                  <c:v>Central Government</c:v>
                </c:pt>
              </c:strCache>
            </c:strRef>
          </c:tx>
          <c:marker>
            <c:symbol val="none"/>
          </c:marker>
          <c:cat>
            <c:strRef>
              <c:f>Loans!$B$11:$G$11</c:f>
              <c:strCache>
                <c:ptCount val="6"/>
                <c:pt idx="0">
                  <c:v>2009/10</c:v>
                </c:pt>
                <c:pt idx="1">
                  <c:v>2010/11</c:v>
                </c:pt>
                <c:pt idx="2">
                  <c:v>2011/12</c:v>
                </c:pt>
                <c:pt idx="3">
                  <c:v>2012/13</c:v>
                </c:pt>
                <c:pt idx="4">
                  <c:v>2013/14</c:v>
                </c:pt>
                <c:pt idx="5">
                  <c:v>2014/15</c:v>
                </c:pt>
              </c:strCache>
            </c:strRef>
          </c:cat>
          <c:val>
            <c:numRef>
              <c:f>Loans!$B$12:$G$12</c:f>
              <c:numCache>
                <c:formatCode>#,##0.00</c:formatCode>
                <c:ptCount val="6"/>
                <c:pt idx="0">
                  <c:v>12.20072497038152</c:v>
                </c:pt>
                <c:pt idx="1">
                  <c:v>4.7870717784027654</c:v>
                </c:pt>
                <c:pt idx="2">
                  <c:v>5.2821664996364301</c:v>
                </c:pt>
                <c:pt idx="3">
                  <c:v>10.16476321240645</c:v>
                </c:pt>
                <c:pt idx="4">
                  <c:v>7.1515196972462833</c:v>
                </c:pt>
                <c:pt idx="5">
                  <c:v>6.2136303525701182</c:v>
                </c:pt>
              </c:numCache>
            </c:numRef>
          </c:val>
          <c:smooth val="0"/>
          <c:extLst>
            <c:ext xmlns:c16="http://schemas.microsoft.com/office/drawing/2014/chart" uri="{C3380CC4-5D6E-409C-BE32-E72D297353CC}">
              <c16:uniqueId val="{00000000-4A26-40DF-8D3F-D0D38B340363}"/>
            </c:ext>
          </c:extLst>
        </c:ser>
        <c:ser>
          <c:idx val="1"/>
          <c:order val="1"/>
          <c:tx>
            <c:strRef>
              <c:f>Loans!$A$13</c:f>
              <c:strCache>
                <c:ptCount val="1"/>
                <c:pt idx="0">
                  <c:v>Public Enterprises</c:v>
                </c:pt>
              </c:strCache>
            </c:strRef>
          </c:tx>
          <c:marker>
            <c:symbol val="none"/>
          </c:marker>
          <c:cat>
            <c:strRef>
              <c:f>Loans!$B$11:$G$11</c:f>
              <c:strCache>
                <c:ptCount val="6"/>
                <c:pt idx="0">
                  <c:v>2009/10</c:v>
                </c:pt>
                <c:pt idx="1">
                  <c:v>2010/11</c:v>
                </c:pt>
                <c:pt idx="2">
                  <c:v>2011/12</c:v>
                </c:pt>
                <c:pt idx="3">
                  <c:v>2012/13</c:v>
                </c:pt>
                <c:pt idx="4">
                  <c:v>2013/14</c:v>
                </c:pt>
                <c:pt idx="5">
                  <c:v>2014/15</c:v>
                </c:pt>
              </c:strCache>
            </c:strRef>
          </c:cat>
          <c:val>
            <c:numRef>
              <c:f>Loans!$B$13:$G$13</c:f>
              <c:numCache>
                <c:formatCode>#,##0.00</c:formatCode>
                <c:ptCount val="6"/>
                <c:pt idx="0">
                  <c:v>13.55338228542257</c:v>
                </c:pt>
                <c:pt idx="1">
                  <c:v>17.61849904428469</c:v>
                </c:pt>
                <c:pt idx="2">
                  <c:v>23.80387154887741</c:v>
                </c:pt>
                <c:pt idx="3">
                  <c:v>27.04293949422879</c:v>
                </c:pt>
                <c:pt idx="4">
                  <c:v>29.617813142674699</c:v>
                </c:pt>
                <c:pt idx="5">
                  <c:v>30.134077175814781</c:v>
                </c:pt>
              </c:numCache>
            </c:numRef>
          </c:val>
          <c:smooth val="0"/>
          <c:extLst>
            <c:ext xmlns:c16="http://schemas.microsoft.com/office/drawing/2014/chart" uri="{C3380CC4-5D6E-409C-BE32-E72D297353CC}">
              <c16:uniqueId val="{00000001-4A26-40DF-8D3F-D0D38B340363}"/>
            </c:ext>
          </c:extLst>
        </c:ser>
        <c:ser>
          <c:idx val="2"/>
          <c:order val="2"/>
          <c:tx>
            <c:strRef>
              <c:f>Loans!$A$14</c:f>
              <c:strCache>
                <c:ptCount val="1"/>
                <c:pt idx="0">
                  <c:v>Cooperatives</c:v>
                </c:pt>
              </c:strCache>
            </c:strRef>
          </c:tx>
          <c:marker>
            <c:symbol val="none"/>
          </c:marker>
          <c:cat>
            <c:strRef>
              <c:f>Loans!$B$11:$G$11</c:f>
              <c:strCache>
                <c:ptCount val="6"/>
                <c:pt idx="0">
                  <c:v>2009/10</c:v>
                </c:pt>
                <c:pt idx="1">
                  <c:v>2010/11</c:v>
                </c:pt>
                <c:pt idx="2">
                  <c:v>2011/12</c:v>
                </c:pt>
                <c:pt idx="3">
                  <c:v>2012/13</c:v>
                </c:pt>
                <c:pt idx="4">
                  <c:v>2013/14</c:v>
                </c:pt>
                <c:pt idx="5">
                  <c:v>2014/15</c:v>
                </c:pt>
              </c:strCache>
            </c:strRef>
          </c:cat>
          <c:val>
            <c:numRef>
              <c:f>Loans!$B$14:$G$14</c:f>
              <c:numCache>
                <c:formatCode>#,##0.00</c:formatCode>
                <c:ptCount val="6"/>
                <c:pt idx="0">
                  <c:v>8.1515823811006847</c:v>
                </c:pt>
                <c:pt idx="1">
                  <c:v>10.78317168765807</c:v>
                </c:pt>
                <c:pt idx="2">
                  <c:v>11.81834903073757</c:v>
                </c:pt>
                <c:pt idx="3">
                  <c:v>8.0818763111876564</c:v>
                </c:pt>
                <c:pt idx="4">
                  <c:v>6.984634543020908</c:v>
                </c:pt>
                <c:pt idx="5">
                  <c:v>5.9760667387210171</c:v>
                </c:pt>
              </c:numCache>
            </c:numRef>
          </c:val>
          <c:smooth val="0"/>
          <c:extLst>
            <c:ext xmlns:c16="http://schemas.microsoft.com/office/drawing/2014/chart" uri="{C3380CC4-5D6E-409C-BE32-E72D297353CC}">
              <c16:uniqueId val="{00000002-4A26-40DF-8D3F-D0D38B340363}"/>
            </c:ext>
          </c:extLst>
        </c:ser>
        <c:ser>
          <c:idx val="3"/>
          <c:order val="3"/>
          <c:tx>
            <c:strRef>
              <c:f>Loans!$A$15</c:f>
              <c:strCache>
                <c:ptCount val="1"/>
                <c:pt idx="0">
                  <c:v>Private &amp; Individuals</c:v>
                </c:pt>
              </c:strCache>
            </c:strRef>
          </c:tx>
          <c:marker>
            <c:symbol val="none"/>
          </c:marker>
          <c:cat>
            <c:strRef>
              <c:f>Loans!$B$11:$G$11</c:f>
              <c:strCache>
                <c:ptCount val="6"/>
                <c:pt idx="0">
                  <c:v>2009/10</c:v>
                </c:pt>
                <c:pt idx="1">
                  <c:v>2010/11</c:v>
                </c:pt>
                <c:pt idx="2">
                  <c:v>2011/12</c:v>
                </c:pt>
                <c:pt idx="3">
                  <c:v>2012/13</c:v>
                </c:pt>
                <c:pt idx="4">
                  <c:v>2013/14</c:v>
                </c:pt>
                <c:pt idx="5">
                  <c:v>2014/15</c:v>
                </c:pt>
              </c:strCache>
            </c:strRef>
          </c:cat>
          <c:val>
            <c:numRef>
              <c:f>Loans!$B$15:$G$15</c:f>
              <c:numCache>
                <c:formatCode>#,##0.00</c:formatCode>
                <c:ptCount val="6"/>
                <c:pt idx="0">
                  <c:v>65.675477828684706</c:v>
                </c:pt>
                <c:pt idx="1">
                  <c:v>66.794653142919685</c:v>
                </c:pt>
                <c:pt idx="2">
                  <c:v>58.858046072841198</c:v>
                </c:pt>
                <c:pt idx="3">
                  <c:v>54.602417479503814</c:v>
                </c:pt>
                <c:pt idx="4">
                  <c:v>56.209688493913873</c:v>
                </c:pt>
                <c:pt idx="5">
                  <c:v>57.651287162460953</c:v>
                </c:pt>
              </c:numCache>
            </c:numRef>
          </c:val>
          <c:smooth val="0"/>
          <c:extLst>
            <c:ext xmlns:c16="http://schemas.microsoft.com/office/drawing/2014/chart" uri="{C3380CC4-5D6E-409C-BE32-E72D297353CC}">
              <c16:uniqueId val="{00000003-4A26-40DF-8D3F-D0D38B340363}"/>
            </c:ext>
          </c:extLst>
        </c:ser>
        <c:dLbls>
          <c:showLegendKey val="0"/>
          <c:showVal val="0"/>
          <c:showCatName val="0"/>
          <c:showSerName val="0"/>
          <c:showPercent val="0"/>
          <c:showBubbleSize val="0"/>
        </c:dLbls>
        <c:smooth val="0"/>
        <c:axId val="-2110716232"/>
        <c:axId val="-2110712968"/>
      </c:lineChart>
      <c:catAx>
        <c:axId val="-2110716232"/>
        <c:scaling>
          <c:orientation val="minMax"/>
        </c:scaling>
        <c:delete val="0"/>
        <c:axPos val="b"/>
        <c:numFmt formatCode="General" sourceLinked="0"/>
        <c:majorTickMark val="out"/>
        <c:minorTickMark val="none"/>
        <c:tickLblPos val="nextTo"/>
        <c:txPr>
          <a:bodyPr/>
          <a:lstStyle/>
          <a:p>
            <a:pPr>
              <a:defRPr>
                <a:latin typeface="Garamond" pitchFamily="18" charset="0"/>
              </a:defRPr>
            </a:pPr>
            <a:endParaRPr lang="en-US"/>
          </a:p>
        </c:txPr>
        <c:crossAx val="-2110712968"/>
        <c:crosses val="autoZero"/>
        <c:auto val="1"/>
        <c:lblAlgn val="ctr"/>
        <c:lblOffset val="100"/>
        <c:noMultiLvlLbl val="0"/>
      </c:catAx>
      <c:valAx>
        <c:axId val="-2110712968"/>
        <c:scaling>
          <c:orientation val="minMax"/>
        </c:scaling>
        <c:delete val="0"/>
        <c:axPos val="l"/>
        <c:numFmt formatCode="#,##0.00" sourceLinked="1"/>
        <c:majorTickMark val="out"/>
        <c:minorTickMark val="none"/>
        <c:tickLblPos val="nextTo"/>
        <c:crossAx val="-2110716232"/>
        <c:crosses val="autoZero"/>
        <c:crossBetween val="between"/>
      </c:valAx>
    </c:plotArea>
    <c:legend>
      <c:legendPos val="r"/>
      <c:overlay val="0"/>
      <c:txPr>
        <a:bodyPr/>
        <a:lstStyle/>
        <a:p>
          <a:pPr>
            <a:defRPr>
              <a:latin typeface="Garamond" pitchFamily="18"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'Crcy os bank'!$A$7</c:f>
              <c:strCache>
                <c:ptCount val="1"/>
                <c:pt idx="0">
                  <c:v>  Currency outside banks</c:v>
                </c:pt>
              </c:strCache>
            </c:strRef>
          </c:tx>
          <c:spPr>
            <a:solidFill>
              <a:schemeClr val="accent6"/>
            </a:solidFill>
            <a:ln>
              <a:noFill/>
            </a:ln>
            <a:effectLst/>
            <a:sp3d/>
          </c:spPr>
          <c:invertIfNegative val="0"/>
          <c:cat>
            <c:strRef>
              <c:f>'Crcy os bank'!$B$6:$G$6</c:f>
              <c:strCache>
                <c:ptCount val="6"/>
                <c:pt idx="0">
                  <c:v>2010/11</c:v>
                </c:pt>
                <c:pt idx="1">
                  <c:v>2011/12</c:v>
                </c:pt>
                <c:pt idx="2">
                  <c:v>2012/13</c:v>
                </c:pt>
                <c:pt idx="3">
                  <c:v>2013/14</c:v>
                </c:pt>
                <c:pt idx="4">
                  <c:v>2014/15</c:v>
                </c:pt>
                <c:pt idx="5">
                  <c:v>2015/16</c:v>
                </c:pt>
              </c:strCache>
            </c:strRef>
          </c:cat>
          <c:val>
            <c:numRef>
              <c:f>'Crcy os bank'!$B$7:$G$7</c:f>
              <c:numCache>
                <c:formatCode>#,##0.0</c:formatCode>
                <c:ptCount val="6"/>
                <c:pt idx="0">
                  <c:v>32.574877000000001</c:v>
                </c:pt>
                <c:pt idx="1">
                  <c:v>38.537137000000001</c:v>
                </c:pt>
                <c:pt idx="2">
                  <c:v>45.670999000000002</c:v>
                </c:pt>
                <c:pt idx="3">
                  <c:v>53.176026000000007</c:v>
                </c:pt>
                <c:pt idx="4">
                  <c:v>60.460918000000063</c:v>
                </c:pt>
                <c:pt idx="5">
                  <c:v>66.68617399999998</c:v>
                </c:pt>
              </c:numCache>
            </c:numRef>
          </c:val>
          <c:extLst>
            <c:ext xmlns:c16="http://schemas.microsoft.com/office/drawing/2014/chart" uri="{C3380CC4-5D6E-409C-BE32-E72D297353CC}">
              <c16:uniqueId val="{00000000-8381-49F9-87F5-9C6DE5ACC3F1}"/>
            </c:ext>
          </c:extLst>
        </c:ser>
        <c:dLbls>
          <c:showLegendKey val="0"/>
          <c:showVal val="0"/>
          <c:showCatName val="0"/>
          <c:showSerName val="0"/>
          <c:showPercent val="0"/>
          <c:showBubbleSize val="0"/>
        </c:dLbls>
        <c:gapWidth val="150"/>
        <c:shape val="box"/>
        <c:axId val="-2110684776"/>
        <c:axId val="-2110681240"/>
        <c:axId val="0"/>
      </c:bar3DChart>
      <c:catAx>
        <c:axId val="-2110684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681240"/>
        <c:crosses val="autoZero"/>
        <c:auto val="1"/>
        <c:lblAlgn val="ctr"/>
        <c:lblOffset val="100"/>
        <c:noMultiLvlLbl val="0"/>
      </c:catAx>
      <c:valAx>
        <c:axId val="-211068124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684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MFIs!$A$11</c:f>
              <c:strCache>
                <c:ptCount val="1"/>
                <c:pt idx="0">
                  <c:v>Total Capital</c:v>
                </c:pt>
              </c:strCache>
            </c:strRef>
          </c:tx>
          <c:marker>
            <c:symbol val="none"/>
          </c:marker>
          <c:cat>
            <c:strRef>
              <c:f>MFIs!$B$10:$F$10</c:f>
              <c:strCache>
                <c:ptCount val="5"/>
                <c:pt idx="0">
                  <c:v>2011/12</c:v>
                </c:pt>
                <c:pt idx="1">
                  <c:v>2012/13</c:v>
                </c:pt>
                <c:pt idx="2">
                  <c:v>2013/14</c:v>
                </c:pt>
                <c:pt idx="3">
                  <c:v>2014/15</c:v>
                </c:pt>
                <c:pt idx="4">
                  <c:v>2015/16</c:v>
                </c:pt>
              </c:strCache>
            </c:strRef>
          </c:cat>
          <c:val>
            <c:numRef>
              <c:f>MFIs!$B$11:$F$11</c:f>
              <c:numCache>
                <c:formatCode>#,##0</c:formatCode>
                <c:ptCount val="5"/>
                <c:pt idx="0">
                  <c:v>3755.4798999999998</c:v>
                </c:pt>
                <c:pt idx="1">
                  <c:v>4536.5775999999996</c:v>
                </c:pt>
                <c:pt idx="2">
                  <c:v>5652.0057000000006</c:v>
                </c:pt>
                <c:pt idx="3">
                  <c:v>7187.2595000000001</c:v>
                </c:pt>
                <c:pt idx="4">
                  <c:v>8875.7806</c:v>
                </c:pt>
              </c:numCache>
            </c:numRef>
          </c:val>
          <c:smooth val="0"/>
          <c:extLst>
            <c:ext xmlns:c16="http://schemas.microsoft.com/office/drawing/2014/chart" uri="{C3380CC4-5D6E-409C-BE32-E72D297353CC}">
              <c16:uniqueId val="{00000000-FE0E-4112-AAA6-5EF6295565E2}"/>
            </c:ext>
          </c:extLst>
        </c:ser>
        <c:ser>
          <c:idx val="1"/>
          <c:order val="1"/>
          <c:tx>
            <c:strRef>
              <c:f>MFIs!$A$12</c:f>
              <c:strCache>
                <c:ptCount val="1"/>
                <c:pt idx="0">
                  <c:v>Saving</c:v>
                </c:pt>
              </c:strCache>
            </c:strRef>
          </c:tx>
          <c:marker>
            <c:symbol val="none"/>
          </c:marker>
          <c:cat>
            <c:strRef>
              <c:f>MFIs!$B$10:$F$10</c:f>
              <c:strCache>
                <c:ptCount val="5"/>
                <c:pt idx="0">
                  <c:v>2011/12</c:v>
                </c:pt>
                <c:pt idx="1">
                  <c:v>2012/13</c:v>
                </c:pt>
                <c:pt idx="2">
                  <c:v>2013/14</c:v>
                </c:pt>
                <c:pt idx="3">
                  <c:v>2014/15</c:v>
                </c:pt>
                <c:pt idx="4">
                  <c:v>2015/16</c:v>
                </c:pt>
              </c:strCache>
            </c:strRef>
          </c:cat>
          <c:val>
            <c:numRef>
              <c:f>MFIs!$B$12:$F$12</c:f>
              <c:numCache>
                <c:formatCode>#,##0</c:formatCode>
                <c:ptCount val="5"/>
                <c:pt idx="0">
                  <c:v>5450.5934999999999</c:v>
                </c:pt>
                <c:pt idx="1">
                  <c:v>7611.3970000000018</c:v>
                </c:pt>
                <c:pt idx="2">
                  <c:v>11784.059600000001</c:v>
                </c:pt>
                <c:pt idx="3">
                  <c:v>14832.747400000009</c:v>
                </c:pt>
                <c:pt idx="4">
                  <c:v>18432.8367</c:v>
                </c:pt>
              </c:numCache>
            </c:numRef>
          </c:val>
          <c:smooth val="0"/>
          <c:extLst>
            <c:ext xmlns:c16="http://schemas.microsoft.com/office/drawing/2014/chart" uri="{C3380CC4-5D6E-409C-BE32-E72D297353CC}">
              <c16:uniqueId val="{00000001-FE0E-4112-AAA6-5EF6295565E2}"/>
            </c:ext>
          </c:extLst>
        </c:ser>
        <c:ser>
          <c:idx val="2"/>
          <c:order val="2"/>
          <c:tx>
            <c:strRef>
              <c:f>MFIs!$A$13</c:f>
              <c:strCache>
                <c:ptCount val="1"/>
                <c:pt idx="0">
                  <c:v>Credit</c:v>
                </c:pt>
              </c:strCache>
            </c:strRef>
          </c:tx>
          <c:marker>
            <c:symbol val="none"/>
          </c:marker>
          <c:cat>
            <c:strRef>
              <c:f>MFIs!$B$10:$F$10</c:f>
              <c:strCache>
                <c:ptCount val="5"/>
                <c:pt idx="0">
                  <c:v>2011/12</c:v>
                </c:pt>
                <c:pt idx="1">
                  <c:v>2012/13</c:v>
                </c:pt>
                <c:pt idx="2">
                  <c:v>2013/14</c:v>
                </c:pt>
                <c:pt idx="3">
                  <c:v>2014/15</c:v>
                </c:pt>
                <c:pt idx="4">
                  <c:v>2015/16</c:v>
                </c:pt>
              </c:strCache>
            </c:strRef>
          </c:cat>
          <c:val>
            <c:numRef>
              <c:f>MFIs!$B$13:$F$13</c:f>
              <c:numCache>
                <c:formatCode>#,##0</c:formatCode>
                <c:ptCount val="5"/>
                <c:pt idx="0">
                  <c:v>9289.6425999999992</c:v>
                </c:pt>
                <c:pt idx="1">
                  <c:v>12781.816599999989</c:v>
                </c:pt>
                <c:pt idx="2">
                  <c:v>16855.556800000009</c:v>
                </c:pt>
                <c:pt idx="3">
                  <c:v>21827.337299999999</c:v>
                </c:pt>
                <c:pt idx="4">
                  <c:v>25203.762999999999</c:v>
                </c:pt>
              </c:numCache>
            </c:numRef>
          </c:val>
          <c:smooth val="0"/>
          <c:extLst>
            <c:ext xmlns:c16="http://schemas.microsoft.com/office/drawing/2014/chart" uri="{C3380CC4-5D6E-409C-BE32-E72D297353CC}">
              <c16:uniqueId val="{00000002-FE0E-4112-AAA6-5EF6295565E2}"/>
            </c:ext>
          </c:extLst>
        </c:ser>
        <c:ser>
          <c:idx val="3"/>
          <c:order val="3"/>
          <c:tx>
            <c:strRef>
              <c:f>MFIs!$A$14</c:f>
              <c:strCache>
                <c:ptCount val="1"/>
                <c:pt idx="0">
                  <c:v>Total Asset</c:v>
                </c:pt>
              </c:strCache>
            </c:strRef>
          </c:tx>
          <c:marker>
            <c:symbol val="none"/>
          </c:marker>
          <c:cat>
            <c:strRef>
              <c:f>MFIs!$B$10:$F$10</c:f>
              <c:strCache>
                <c:ptCount val="5"/>
                <c:pt idx="0">
                  <c:v>2011/12</c:v>
                </c:pt>
                <c:pt idx="1">
                  <c:v>2012/13</c:v>
                </c:pt>
                <c:pt idx="2">
                  <c:v>2013/14</c:v>
                </c:pt>
                <c:pt idx="3">
                  <c:v>2014/15</c:v>
                </c:pt>
                <c:pt idx="4">
                  <c:v>2015/16</c:v>
                </c:pt>
              </c:strCache>
            </c:strRef>
          </c:cat>
          <c:val>
            <c:numRef>
              <c:f>MFIs!$B$14:$F$14</c:f>
              <c:numCache>
                <c:formatCode>#,##0</c:formatCode>
                <c:ptCount val="5"/>
                <c:pt idx="0">
                  <c:v>13308.2001</c:v>
                </c:pt>
                <c:pt idx="1">
                  <c:v>17700.416300000001</c:v>
                </c:pt>
                <c:pt idx="2">
                  <c:v>24535.85</c:v>
                </c:pt>
                <c:pt idx="3">
                  <c:v>30562.012200000001</c:v>
                </c:pt>
                <c:pt idx="4">
                  <c:v>36668.011600000013</c:v>
                </c:pt>
              </c:numCache>
            </c:numRef>
          </c:val>
          <c:smooth val="0"/>
          <c:extLst>
            <c:ext xmlns:c16="http://schemas.microsoft.com/office/drawing/2014/chart" uri="{C3380CC4-5D6E-409C-BE32-E72D297353CC}">
              <c16:uniqueId val="{00000003-FE0E-4112-AAA6-5EF6295565E2}"/>
            </c:ext>
          </c:extLst>
        </c:ser>
        <c:dLbls>
          <c:showLegendKey val="0"/>
          <c:showVal val="0"/>
          <c:showCatName val="0"/>
          <c:showSerName val="0"/>
          <c:showPercent val="0"/>
          <c:showBubbleSize val="0"/>
        </c:dLbls>
        <c:smooth val="0"/>
        <c:axId val="-2110636264"/>
        <c:axId val="-2110633000"/>
      </c:lineChart>
      <c:catAx>
        <c:axId val="-2110636264"/>
        <c:scaling>
          <c:orientation val="minMax"/>
        </c:scaling>
        <c:delete val="0"/>
        <c:axPos val="b"/>
        <c:numFmt formatCode="General" sourceLinked="0"/>
        <c:majorTickMark val="out"/>
        <c:minorTickMark val="none"/>
        <c:tickLblPos val="nextTo"/>
        <c:txPr>
          <a:bodyPr/>
          <a:lstStyle/>
          <a:p>
            <a:pPr>
              <a:defRPr>
                <a:latin typeface="Garamond" panose="02020404030301010803" pitchFamily="18" charset="0"/>
              </a:defRPr>
            </a:pPr>
            <a:endParaRPr lang="en-US"/>
          </a:p>
        </c:txPr>
        <c:crossAx val="-2110633000"/>
        <c:crosses val="autoZero"/>
        <c:auto val="1"/>
        <c:lblAlgn val="ctr"/>
        <c:lblOffset val="100"/>
        <c:noMultiLvlLbl val="0"/>
      </c:catAx>
      <c:valAx>
        <c:axId val="-2110633000"/>
        <c:scaling>
          <c:orientation val="minMax"/>
        </c:scaling>
        <c:delete val="0"/>
        <c:axPos val="l"/>
        <c:numFmt formatCode="#,##0" sourceLinked="1"/>
        <c:majorTickMark val="out"/>
        <c:minorTickMark val="none"/>
        <c:tickLblPos val="nextTo"/>
        <c:txPr>
          <a:bodyPr/>
          <a:lstStyle/>
          <a:p>
            <a:pPr>
              <a:defRPr>
                <a:latin typeface="Garamond" panose="02020404030301010803" pitchFamily="18" charset="0"/>
              </a:defRPr>
            </a:pPr>
            <a:endParaRPr lang="en-US"/>
          </a:p>
        </c:txPr>
        <c:crossAx val="-2110636264"/>
        <c:crosses val="autoZero"/>
        <c:crossBetween val="between"/>
      </c:valAx>
    </c:plotArea>
    <c:legend>
      <c:legendPos val="r"/>
      <c:overlay val="0"/>
      <c:txPr>
        <a:bodyPr/>
        <a:lstStyle/>
        <a:p>
          <a:pPr>
            <a:defRPr>
              <a:latin typeface="Garamond" panose="02020404030301010803" pitchFamily="18" charset="0"/>
            </a:defRPr>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Climate!$A$8:$A$11</c:f>
              <c:strCache>
                <c:ptCount val="4"/>
                <c:pt idx="0">
                  <c:v>2008/9</c:v>
                </c:pt>
                <c:pt idx="1">
                  <c:v>2009/10</c:v>
                </c:pt>
                <c:pt idx="2">
                  <c:v>2010/11</c:v>
                </c:pt>
                <c:pt idx="3">
                  <c:v>2011/12</c:v>
                </c:pt>
              </c:strCache>
            </c:strRef>
          </c:cat>
          <c:val>
            <c:numRef>
              <c:f>Climate!$B$8:$B$11</c:f>
              <c:numCache>
                <c:formatCode>General</c:formatCode>
                <c:ptCount val="4"/>
                <c:pt idx="0">
                  <c:v>1.5</c:v>
                </c:pt>
                <c:pt idx="1">
                  <c:v>2.2999999999999998</c:v>
                </c:pt>
                <c:pt idx="2">
                  <c:v>1.7</c:v>
                </c:pt>
                <c:pt idx="3">
                  <c:v>1.8</c:v>
                </c:pt>
              </c:numCache>
            </c:numRef>
          </c:val>
          <c:smooth val="0"/>
          <c:extLst>
            <c:ext xmlns:c16="http://schemas.microsoft.com/office/drawing/2014/chart" uri="{C3380CC4-5D6E-409C-BE32-E72D297353CC}">
              <c16:uniqueId val="{00000000-C6AB-4DDE-89E5-DFCAF373FF6C}"/>
            </c:ext>
          </c:extLst>
        </c:ser>
        <c:dLbls>
          <c:showLegendKey val="0"/>
          <c:showVal val="0"/>
          <c:showCatName val="0"/>
          <c:showSerName val="0"/>
          <c:showPercent val="0"/>
          <c:showBubbleSize val="0"/>
        </c:dLbls>
        <c:smooth val="0"/>
        <c:axId val="-2110606408"/>
        <c:axId val="-2110602856"/>
      </c:lineChart>
      <c:catAx>
        <c:axId val="-2110606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602856"/>
        <c:crosses val="autoZero"/>
        <c:auto val="1"/>
        <c:lblAlgn val="ctr"/>
        <c:lblOffset val="100"/>
        <c:noMultiLvlLbl val="0"/>
      </c:catAx>
      <c:valAx>
        <c:axId val="-21106028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606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Garamond" panose="02020404030301010803"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Rev!$A$80</c:f>
              <c:strCache>
                <c:ptCount val="1"/>
                <c:pt idx="0">
                  <c:v>Grants </c:v>
                </c:pt>
              </c:strCache>
            </c:strRef>
          </c:tx>
          <c:spPr>
            <a:solidFill>
              <a:schemeClr val="accent1"/>
            </a:solidFill>
            <a:ln>
              <a:noFill/>
            </a:ln>
            <a:effectLst/>
            <a:sp3d/>
          </c:spPr>
          <c:invertIfNegative val="0"/>
          <c:cat>
            <c:strRef>
              <c:f>Rev!$B$79:$G$79</c:f>
              <c:strCache>
                <c:ptCount val="6"/>
                <c:pt idx="0">
                  <c:v>2010/11</c:v>
                </c:pt>
                <c:pt idx="1">
                  <c:v>2011/12</c:v>
                </c:pt>
                <c:pt idx="2">
                  <c:v>2012/13</c:v>
                </c:pt>
                <c:pt idx="3">
                  <c:v>2013/14</c:v>
                </c:pt>
                <c:pt idx="4">
                  <c:v>2014/15</c:v>
                </c:pt>
                <c:pt idx="5">
                  <c:v>2015/16</c:v>
                </c:pt>
              </c:strCache>
            </c:strRef>
          </c:cat>
          <c:val>
            <c:numRef>
              <c:f>Rev!$B$80:$G$80</c:f>
              <c:numCache>
                <c:formatCode>0.0</c:formatCode>
                <c:ptCount val="6"/>
                <c:pt idx="0">
                  <c:v>3.2017130250932602</c:v>
                </c:pt>
                <c:pt idx="1">
                  <c:v>1.7120842201395381</c:v>
                </c:pt>
                <c:pt idx="2">
                  <c:v>1.5167640226388419</c:v>
                </c:pt>
                <c:pt idx="3">
                  <c:v>1.136511983563</c:v>
                </c:pt>
                <c:pt idx="4">
                  <c:v>1.052854587277738</c:v>
                </c:pt>
                <c:pt idx="5">
                  <c:v>0.87916272981252497</c:v>
                </c:pt>
              </c:numCache>
            </c:numRef>
          </c:val>
          <c:extLst>
            <c:ext xmlns:c16="http://schemas.microsoft.com/office/drawing/2014/chart" uri="{C3380CC4-5D6E-409C-BE32-E72D297353CC}">
              <c16:uniqueId val="{00000000-534E-40FE-BE0E-A744C31CC5CC}"/>
            </c:ext>
          </c:extLst>
        </c:ser>
        <c:ser>
          <c:idx val="1"/>
          <c:order val="1"/>
          <c:tx>
            <c:strRef>
              <c:f>Rev!$A$81</c:f>
              <c:strCache>
                <c:ptCount val="1"/>
                <c:pt idx="0">
                  <c:v>Loans</c:v>
                </c:pt>
              </c:strCache>
            </c:strRef>
          </c:tx>
          <c:spPr>
            <a:solidFill>
              <a:schemeClr val="accent2"/>
            </a:solidFill>
            <a:ln>
              <a:noFill/>
            </a:ln>
            <a:effectLst/>
            <a:sp3d/>
          </c:spPr>
          <c:invertIfNegative val="0"/>
          <c:cat>
            <c:strRef>
              <c:f>Rev!$B$79:$G$79</c:f>
              <c:strCache>
                <c:ptCount val="6"/>
                <c:pt idx="0">
                  <c:v>2010/11</c:v>
                </c:pt>
                <c:pt idx="1">
                  <c:v>2011/12</c:v>
                </c:pt>
                <c:pt idx="2">
                  <c:v>2012/13</c:v>
                </c:pt>
                <c:pt idx="3">
                  <c:v>2013/14</c:v>
                </c:pt>
                <c:pt idx="4">
                  <c:v>2014/15</c:v>
                </c:pt>
                <c:pt idx="5">
                  <c:v>2015/16</c:v>
                </c:pt>
              </c:strCache>
            </c:strRef>
          </c:cat>
          <c:val>
            <c:numRef>
              <c:f>Rev!$B$81:$G$81</c:f>
              <c:numCache>
                <c:formatCode>0.0</c:formatCode>
                <c:ptCount val="6"/>
                <c:pt idx="0">
                  <c:v>1.6377099435232261</c:v>
                </c:pt>
                <c:pt idx="1">
                  <c:v>0.99596160176415605</c:v>
                </c:pt>
                <c:pt idx="2">
                  <c:v>2.0869005483227738</c:v>
                </c:pt>
                <c:pt idx="3">
                  <c:v>2.0887479675728211</c:v>
                </c:pt>
                <c:pt idx="4">
                  <c:v>1.6724888509772871</c:v>
                </c:pt>
                <c:pt idx="5">
                  <c:v>1.906576659707395</c:v>
                </c:pt>
              </c:numCache>
            </c:numRef>
          </c:val>
          <c:extLst>
            <c:ext xmlns:c16="http://schemas.microsoft.com/office/drawing/2014/chart" uri="{C3380CC4-5D6E-409C-BE32-E72D297353CC}">
              <c16:uniqueId val="{00000001-534E-40FE-BE0E-A744C31CC5CC}"/>
            </c:ext>
          </c:extLst>
        </c:ser>
        <c:dLbls>
          <c:showLegendKey val="0"/>
          <c:showVal val="0"/>
          <c:showCatName val="0"/>
          <c:showSerName val="0"/>
          <c:showPercent val="0"/>
          <c:showBubbleSize val="0"/>
        </c:dLbls>
        <c:gapWidth val="150"/>
        <c:shape val="box"/>
        <c:axId val="-2110562152"/>
        <c:axId val="-2110558616"/>
        <c:axId val="0"/>
      </c:bar3DChart>
      <c:catAx>
        <c:axId val="-2110562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558616"/>
        <c:crosses val="autoZero"/>
        <c:auto val="1"/>
        <c:lblAlgn val="ctr"/>
        <c:lblOffset val="100"/>
        <c:noMultiLvlLbl val="0"/>
      </c:catAx>
      <c:valAx>
        <c:axId val="-211055861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562152"/>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Summary!$A$37</c:f>
              <c:strCache>
                <c:ptCount val="1"/>
                <c:pt idx="0">
                  <c:v>Bilateral group</c:v>
                </c:pt>
              </c:strCache>
            </c:strRef>
          </c:tx>
          <c:spPr>
            <a:solidFill>
              <a:schemeClr val="accent1"/>
            </a:solidFill>
            <a:ln>
              <a:noFill/>
            </a:ln>
            <a:effectLst/>
          </c:spPr>
          <c:invertIfNegative val="0"/>
          <c:cat>
            <c:strRef>
              <c:f>Summary!$B$36:$G$36</c:f>
              <c:strCache>
                <c:ptCount val="6"/>
                <c:pt idx="0">
                  <c:v>2010/11</c:v>
                </c:pt>
                <c:pt idx="1">
                  <c:v>2011/12</c:v>
                </c:pt>
                <c:pt idx="2">
                  <c:v>2012/13</c:v>
                </c:pt>
                <c:pt idx="3">
                  <c:v>2013/14</c:v>
                </c:pt>
                <c:pt idx="4">
                  <c:v>2014/15</c:v>
                </c:pt>
                <c:pt idx="5">
                  <c:v>2015/16</c:v>
                </c:pt>
              </c:strCache>
            </c:strRef>
          </c:cat>
          <c:val>
            <c:numRef>
              <c:f>Summary!$B$37:$G$37</c:f>
              <c:numCache>
                <c:formatCode>0.0</c:formatCode>
                <c:ptCount val="6"/>
                <c:pt idx="0">
                  <c:v>27.077177160080002</c:v>
                </c:pt>
                <c:pt idx="1">
                  <c:v>132.62142245971799</c:v>
                </c:pt>
                <c:pt idx="2">
                  <c:v>58.83058192795896</c:v>
                </c:pt>
                <c:pt idx="3">
                  <c:v>62.043121191373487</c:v>
                </c:pt>
                <c:pt idx="4">
                  <c:v>162.90268704501079</c:v>
                </c:pt>
                <c:pt idx="5">
                  <c:v>52.665500972991211</c:v>
                </c:pt>
              </c:numCache>
            </c:numRef>
          </c:val>
          <c:extLst>
            <c:ext xmlns:c16="http://schemas.microsoft.com/office/drawing/2014/chart" uri="{C3380CC4-5D6E-409C-BE32-E72D297353CC}">
              <c16:uniqueId val="{00000000-13B8-4DF7-91CF-BC1CD3D767DB}"/>
            </c:ext>
          </c:extLst>
        </c:ser>
        <c:ser>
          <c:idx val="1"/>
          <c:order val="1"/>
          <c:tx>
            <c:strRef>
              <c:f>Summary!$A$38</c:f>
              <c:strCache>
                <c:ptCount val="1"/>
                <c:pt idx="0">
                  <c:v>International Financial Institutions</c:v>
                </c:pt>
              </c:strCache>
            </c:strRef>
          </c:tx>
          <c:spPr>
            <a:solidFill>
              <a:schemeClr val="accent2"/>
            </a:solidFill>
            <a:ln>
              <a:noFill/>
            </a:ln>
            <a:effectLst/>
          </c:spPr>
          <c:invertIfNegative val="0"/>
          <c:cat>
            <c:strRef>
              <c:f>Summary!$B$36:$G$36</c:f>
              <c:strCache>
                <c:ptCount val="6"/>
                <c:pt idx="0">
                  <c:v>2010/11</c:v>
                </c:pt>
                <c:pt idx="1">
                  <c:v>2011/12</c:v>
                </c:pt>
                <c:pt idx="2">
                  <c:v>2012/13</c:v>
                </c:pt>
                <c:pt idx="3">
                  <c:v>2013/14</c:v>
                </c:pt>
                <c:pt idx="4">
                  <c:v>2014/15</c:v>
                </c:pt>
                <c:pt idx="5">
                  <c:v>2015/16</c:v>
                </c:pt>
              </c:strCache>
            </c:strRef>
          </c:cat>
          <c:val>
            <c:numRef>
              <c:f>Summary!$B$38:$G$38</c:f>
              <c:numCache>
                <c:formatCode>0.0</c:formatCode>
                <c:ptCount val="6"/>
                <c:pt idx="0">
                  <c:v>0</c:v>
                </c:pt>
                <c:pt idx="1">
                  <c:v>53.65047665253654</c:v>
                </c:pt>
                <c:pt idx="2">
                  <c:v>54.129986036575943</c:v>
                </c:pt>
                <c:pt idx="3">
                  <c:v>53.875404658528034</c:v>
                </c:pt>
                <c:pt idx="4">
                  <c:v>59.176648450121817</c:v>
                </c:pt>
                <c:pt idx="5">
                  <c:v>61.830413686196977</c:v>
                </c:pt>
              </c:numCache>
            </c:numRef>
          </c:val>
          <c:extLst>
            <c:ext xmlns:c16="http://schemas.microsoft.com/office/drawing/2014/chart" uri="{C3380CC4-5D6E-409C-BE32-E72D297353CC}">
              <c16:uniqueId val="{00000001-13B8-4DF7-91CF-BC1CD3D767DB}"/>
            </c:ext>
          </c:extLst>
        </c:ser>
        <c:ser>
          <c:idx val="2"/>
          <c:order val="2"/>
          <c:tx>
            <c:strRef>
              <c:f>Summary!$A$39</c:f>
              <c:strCache>
                <c:ptCount val="1"/>
                <c:pt idx="0">
                  <c:v>Total</c:v>
                </c:pt>
              </c:strCache>
            </c:strRef>
          </c:tx>
          <c:spPr>
            <a:solidFill>
              <a:srgbClr val="00B050"/>
            </a:solidFill>
            <a:ln>
              <a:noFill/>
            </a:ln>
            <a:effectLst/>
          </c:spPr>
          <c:invertIfNegative val="0"/>
          <c:cat>
            <c:strRef>
              <c:f>Summary!$B$36:$G$36</c:f>
              <c:strCache>
                <c:ptCount val="6"/>
                <c:pt idx="0">
                  <c:v>2010/11</c:v>
                </c:pt>
                <c:pt idx="1">
                  <c:v>2011/12</c:v>
                </c:pt>
                <c:pt idx="2">
                  <c:v>2012/13</c:v>
                </c:pt>
                <c:pt idx="3">
                  <c:v>2013/14</c:v>
                </c:pt>
                <c:pt idx="4">
                  <c:v>2014/15</c:v>
                </c:pt>
                <c:pt idx="5">
                  <c:v>2015/16</c:v>
                </c:pt>
              </c:strCache>
            </c:strRef>
          </c:cat>
          <c:val>
            <c:numRef>
              <c:f>Summary!$B$39:$G$39</c:f>
              <c:numCache>
                <c:formatCode>0.0</c:formatCode>
                <c:ptCount val="6"/>
                <c:pt idx="0">
                  <c:v>16.40128388012516</c:v>
                </c:pt>
                <c:pt idx="1">
                  <c:v>67.209404891730628</c:v>
                </c:pt>
                <c:pt idx="2">
                  <c:v>55.309927230750453</c:v>
                </c:pt>
                <c:pt idx="3">
                  <c:v>55.296311870285066</c:v>
                </c:pt>
                <c:pt idx="4">
                  <c:v>68.787676487531911</c:v>
                </c:pt>
                <c:pt idx="5">
                  <c:v>60.372485222991358</c:v>
                </c:pt>
              </c:numCache>
            </c:numRef>
          </c:val>
          <c:extLst>
            <c:ext xmlns:c16="http://schemas.microsoft.com/office/drawing/2014/chart" uri="{C3380CC4-5D6E-409C-BE32-E72D297353CC}">
              <c16:uniqueId val="{00000002-13B8-4DF7-91CF-BC1CD3D767DB}"/>
            </c:ext>
          </c:extLst>
        </c:ser>
        <c:dLbls>
          <c:showLegendKey val="0"/>
          <c:showVal val="0"/>
          <c:showCatName val="0"/>
          <c:showSerName val="0"/>
          <c:showPercent val="0"/>
          <c:showBubbleSize val="0"/>
        </c:dLbls>
        <c:gapWidth val="150"/>
        <c:axId val="-2110512984"/>
        <c:axId val="-2110509432"/>
      </c:barChart>
      <c:catAx>
        <c:axId val="-211051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509432"/>
        <c:crosses val="autoZero"/>
        <c:auto val="1"/>
        <c:lblAlgn val="ctr"/>
        <c:lblOffset val="100"/>
        <c:noMultiLvlLbl val="0"/>
      </c:catAx>
      <c:valAx>
        <c:axId val="-211050943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512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'Sectoral '!$A$64:$A$73</c:f>
              <c:strCache>
                <c:ptCount val="10"/>
                <c:pt idx="0">
                  <c:v>Agriculture</c:v>
                </c:pt>
                <c:pt idx="1">
                  <c:v>Education</c:v>
                </c:pt>
                <c:pt idx="2">
                  <c:v>Energy generation and supply</c:v>
                </c:pt>
                <c:pt idx="3">
                  <c:v>Government and Civil society </c:v>
                </c:pt>
                <c:pt idx="4">
                  <c:v>Health </c:v>
                </c:pt>
                <c:pt idx="5">
                  <c:v>Industry </c:v>
                </c:pt>
                <c:pt idx="6">
                  <c:v>Multisector/cross-cutting</c:v>
                </c:pt>
                <c:pt idx="7">
                  <c:v>Transport and storage </c:v>
                </c:pt>
                <c:pt idx="8">
                  <c:v>Water supply and sanitation </c:v>
                </c:pt>
                <c:pt idx="9">
                  <c:v>Other </c:v>
                </c:pt>
              </c:strCache>
            </c:strRef>
          </c:cat>
          <c:val>
            <c:numRef>
              <c:f>'Sectoral '!$B$64:$B$73</c:f>
              <c:numCache>
                <c:formatCode>0.0</c:formatCode>
                <c:ptCount val="10"/>
                <c:pt idx="0">
                  <c:v>27.541686953553899</c:v>
                </c:pt>
                <c:pt idx="1">
                  <c:v>7.6862713326652674</c:v>
                </c:pt>
                <c:pt idx="2">
                  <c:v>9.6312828414953007</c:v>
                </c:pt>
                <c:pt idx="3">
                  <c:v>0.75074548017124099</c:v>
                </c:pt>
                <c:pt idx="4">
                  <c:v>6.7710765380640572</c:v>
                </c:pt>
                <c:pt idx="5">
                  <c:v>1.700351090162137</c:v>
                </c:pt>
                <c:pt idx="6">
                  <c:v>20.418181260419178</c:v>
                </c:pt>
                <c:pt idx="7">
                  <c:v>16.007290780740909</c:v>
                </c:pt>
                <c:pt idx="8">
                  <c:v>5.4908510918775812</c:v>
                </c:pt>
                <c:pt idx="9">
                  <c:v>4.0018823287160306</c:v>
                </c:pt>
              </c:numCache>
            </c:numRef>
          </c:val>
          <c:extLst>
            <c:ext xmlns:c16="http://schemas.microsoft.com/office/drawing/2014/chart" uri="{C3380CC4-5D6E-409C-BE32-E72D297353CC}">
              <c16:uniqueId val="{00000000-DAD3-470C-A5D2-F86D3B2BFB73}"/>
            </c:ext>
          </c:extLst>
        </c:ser>
        <c:dLbls>
          <c:showLegendKey val="0"/>
          <c:showVal val="0"/>
          <c:showCatName val="0"/>
          <c:showSerName val="0"/>
          <c:showPercent val="0"/>
          <c:showBubbleSize val="0"/>
        </c:dLbls>
        <c:gapWidth val="150"/>
        <c:shape val="box"/>
        <c:axId val="-2110483928"/>
        <c:axId val="-2110480392"/>
        <c:axId val="0"/>
      </c:bar3DChart>
      <c:catAx>
        <c:axId val="-21104839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480392"/>
        <c:crosses val="autoZero"/>
        <c:auto val="1"/>
        <c:lblAlgn val="ctr"/>
        <c:lblOffset val="100"/>
        <c:noMultiLvlLbl val="0"/>
      </c:catAx>
      <c:valAx>
        <c:axId val="-2110480392"/>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483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Summary!$A$64</c:f>
              <c:strCache>
                <c:ptCount val="1"/>
                <c:pt idx="0">
                  <c:v>Central Government</c:v>
                </c:pt>
              </c:strCache>
            </c:strRef>
          </c:tx>
          <c:spPr>
            <a:ln w="28575" cap="rnd">
              <a:solidFill>
                <a:schemeClr val="accent1"/>
              </a:solidFill>
              <a:round/>
            </a:ln>
            <a:effectLst/>
          </c:spPr>
          <c:marker>
            <c:symbol val="none"/>
          </c:marker>
          <c:cat>
            <c:strRef>
              <c:f>Summary!$B$63:$F$63</c:f>
              <c:strCache>
                <c:ptCount val="5"/>
                <c:pt idx="0">
                  <c:v>2011/12</c:v>
                </c:pt>
                <c:pt idx="1">
                  <c:v>2012/13</c:v>
                </c:pt>
                <c:pt idx="2">
                  <c:v>2013/14</c:v>
                </c:pt>
                <c:pt idx="3">
                  <c:v>2014/15</c:v>
                </c:pt>
                <c:pt idx="4">
                  <c:v>2015/16</c:v>
                </c:pt>
              </c:strCache>
            </c:strRef>
          </c:cat>
          <c:val>
            <c:numRef>
              <c:f>Summary!$B$64:$F$64</c:f>
              <c:numCache>
                <c:formatCode>#,##0.00</c:formatCode>
                <c:ptCount val="5"/>
                <c:pt idx="0">
                  <c:v>55.510987988731443</c:v>
                </c:pt>
                <c:pt idx="1">
                  <c:v>50.157197150134451</c:v>
                </c:pt>
                <c:pt idx="2">
                  <c:v>48.343727599197543</c:v>
                </c:pt>
                <c:pt idx="3">
                  <c:v>44.497010397214503</c:v>
                </c:pt>
                <c:pt idx="4">
                  <c:v>44.212402677888207</c:v>
                </c:pt>
              </c:numCache>
            </c:numRef>
          </c:val>
          <c:smooth val="0"/>
          <c:extLst>
            <c:ext xmlns:c16="http://schemas.microsoft.com/office/drawing/2014/chart" uri="{C3380CC4-5D6E-409C-BE32-E72D297353CC}">
              <c16:uniqueId val="{00000000-0E98-41D3-A6FC-6A659EC20532}"/>
            </c:ext>
          </c:extLst>
        </c:ser>
        <c:ser>
          <c:idx val="1"/>
          <c:order val="1"/>
          <c:tx>
            <c:strRef>
              <c:f>Summary!$A$65</c:f>
              <c:strCache>
                <c:ptCount val="1"/>
                <c:pt idx="0">
                  <c:v>State Owened Enterprises</c:v>
                </c:pt>
              </c:strCache>
            </c:strRef>
          </c:tx>
          <c:spPr>
            <a:ln w="28575" cap="rnd">
              <a:solidFill>
                <a:schemeClr val="accent2"/>
              </a:solidFill>
              <a:round/>
            </a:ln>
            <a:effectLst/>
          </c:spPr>
          <c:marker>
            <c:symbol val="none"/>
          </c:marker>
          <c:cat>
            <c:strRef>
              <c:f>Summary!$B$63:$F$63</c:f>
              <c:strCache>
                <c:ptCount val="5"/>
                <c:pt idx="0">
                  <c:v>2011/12</c:v>
                </c:pt>
                <c:pt idx="1">
                  <c:v>2012/13</c:v>
                </c:pt>
                <c:pt idx="2">
                  <c:v>2013/14</c:v>
                </c:pt>
                <c:pt idx="3">
                  <c:v>2014/15</c:v>
                </c:pt>
                <c:pt idx="4">
                  <c:v>2015/16</c:v>
                </c:pt>
              </c:strCache>
            </c:strRef>
          </c:cat>
          <c:val>
            <c:numRef>
              <c:f>Summary!$B$65:$F$65</c:f>
              <c:numCache>
                <c:formatCode>#,##0.00</c:formatCode>
                <c:ptCount val="5"/>
                <c:pt idx="0">
                  <c:v>44.489012011268507</c:v>
                </c:pt>
                <c:pt idx="1">
                  <c:v>49.842802849865542</c:v>
                </c:pt>
                <c:pt idx="2">
                  <c:v>51.656272400802408</c:v>
                </c:pt>
                <c:pt idx="3">
                  <c:v>55.502989602785497</c:v>
                </c:pt>
                <c:pt idx="4">
                  <c:v>55.7875973221118</c:v>
                </c:pt>
              </c:numCache>
            </c:numRef>
          </c:val>
          <c:smooth val="0"/>
          <c:extLst>
            <c:ext xmlns:c16="http://schemas.microsoft.com/office/drawing/2014/chart" uri="{C3380CC4-5D6E-409C-BE32-E72D297353CC}">
              <c16:uniqueId val="{00000001-0E98-41D3-A6FC-6A659EC20532}"/>
            </c:ext>
          </c:extLst>
        </c:ser>
        <c:dLbls>
          <c:showLegendKey val="0"/>
          <c:showVal val="0"/>
          <c:showCatName val="0"/>
          <c:showSerName val="0"/>
          <c:showPercent val="0"/>
          <c:showBubbleSize val="0"/>
        </c:dLbls>
        <c:smooth val="0"/>
        <c:axId val="-2110443336"/>
        <c:axId val="-2110439848"/>
      </c:lineChart>
      <c:catAx>
        <c:axId val="-211044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439848"/>
        <c:crosses val="autoZero"/>
        <c:auto val="1"/>
        <c:lblAlgn val="ctr"/>
        <c:lblOffset val="100"/>
        <c:noMultiLvlLbl val="0"/>
      </c:catAx>
      <c:valAx>
        <c:axId val="-211043984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443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Rev!$A$92</c:f>
              <c:strCache>
                <c:ptCount val="1"/>
                <c:pt idx="0">
                  <c:v>    Central Government</c:v>
                </c:pt>
              </c:strCache>
            </c:strRef>
          </c:tx>
          <c:spPr>
            <a:solidFill>
              <a:schemeClr val="accent1"/>
            </a:solidFill>
            <a:ln>
              <a:noFill/>
            </a:ln>
            <a:effectLst/>
            <a:sp3d/>
          </c:spPr>
          <c:invertIfNegative val="0"/>
          <c:cat>
            <c:strRef>
              <c:f>Rev!$B$91:$F$91</c:f>
              <c:strCache>
                <c:ptCount val="5"/>
                <c:pt idx="0">
                  <c:v>2011/12</c:v>
                </c:pt>
                <c:pt idx="1">
                  <c:v>2012/13</c:v>
                </c:pt>
                <c:pt idx="2">
                  <c:v>2013/14</c:v>
                </c:pt>
                <c:pt idx="3">
                  <c:v>2014/15</c:v>
                </c:pt>
                <c:pt idx="4">
                  <c:v>2015/16</c:v>
                </c:pt>
              </c:strCache>
            </c:strRef>
          </c:cat>
          <c:val>
            <c:numRef>
              <c:f>Rev!$B$92:$F$92</c:f>
              <c:numCache>
                <c:formatCode>0.0</c:formatCode>
                <c:ptCount val="5"/>
                <c:pt idx="0">
                  <c:v>61.531070021420398</c:v>
                </c:pt>
                <c:pt idx="1">
                  <c:v>60.871979228010296</c:v>
                </c:pt>
                <c:pt idx="2">
                  <c:v>60.135184025515507</c:v>
                </c:pt>
                <c:pt idx="3">
                  <c:v>52.520327510648357</c:v>
                </c:pt>
                <c:pt idx="4">
                  <c:v>53.591283645469133</c:v>
                </c:pt>
              </c:numCache>
            </c:numRef>
          </c:val>
          <c:extLst>
            <c:ext xmlns:c16="http://schemas.microsoft.com/office/drawing/2014/chart" uri="{C3380CC4-5D6E-409C-BE32-E72D297353CC}">
              <c16:uniqueId val="{00000000-75EB-4025-B843-993D435C0DA8}"/>
            </c:ext>
          </c:extLst>
        </c:ser>
        <c:ser>
          <c:idx val="1"/>
          <c:order val="1"/>
          <c:tx>
            <c:strRef>
              <c:f>Rev!$A$93</c:f>
              <c:strCache>
                <c:ptCount val="1"/>
                <c:pt idx="0">
                  <c:v>    Gov.Guaranteed </c:v>
                </c:pt>
              </c:strCache>
            </c:strRef>
          </c:tx>
          <c:spPr>
            <a:solidFill>
              <a:schemeClr val="accent2"/>
            </a:solidFill>
            <a:ln>
              <a:noFill/>
            </a:ln>
            <a:effectLst/>
            <a:sp3d/>
          </c:spPr>
          <c:invertIfNegative val="0"/>
          <c:cat>
            <c:strRef>
              <c:f>Rev!$B$91:$F$91</c:f>
              <c:strCache>
                <c:ptCount val="5"/>
                <c:pt idx="0">
                  <c:v>2011/12</c:v>
                </c:pt>
                <c:pt idx="1">
                  <c:v>2012/13</c:v>
                </c:pt>
                <c:pt idx="2">
                  <c:v>2013/14</c:v>
                </c:pt>
                <c:pt idx="3">
                  <c:v>2014/15</c:v>
                </c:pt>
                <c:pt idx="4">
                  <c:v>2015/16</c:v>
                </c:pt>
              </c:strCache>
            </c:strRef>
          </c:cat>
          <c:val>
            <c:numRef>
              <c:f>Rev!$B$93:$F$93</c:f>
              <c:numCache>
                <c:formatCode>0.0</c:formatCode>
                <c:ptCount val="5"/>
                <c:pt idx="0">
                  <c:v>14.71692124591913</c:v>
                </c:pt>
                <c:pt idx="1">
                  <c:v>15.74554513354936</c:v>
                </c:pt>
                <c:pt idx="2">
                  <c:v>16.383153944206189</c:v>
                </c:pt>
                <c:pt idx="3">
                  <c:v>25.54099137201635</c:v>
                </c:pt>
                <c:pt idx="4">
                  <c:v>28.82789881186384</c:v>
                </c:pt>
              </c:numCache>
            </c:numRef>
          </c:val>
          <c:extLst>
            <c:ext xmlns:c16="http://schemas.microsoft.com/office/drawing/2014/chart" uri="{C3380CC4-5D6E-409C-BE32-E72D297353CC}">
              <c16:uniqueId val="{00000001-75EB-4025-B843-993D435C0DA8}"/>
            </c:ext>
          </c:extLst>
        </c:ser>
        <c:ser>
          <c:idx val="2"/>
          <c:order val="2"/>
          <c:tx>
            <c:strRef>
              <c:f>Rev!$A$94</c:f>
              <c:strCache>
                <c:ptCount val="1"/>
                <c:pt idx="0">
                  <c:v>    Non-Gov. Guaranteed  </c:v>
                </c:pt>
              </c:strCache>
            </c:strRef>
          </c:tx>
          <c:spPr>
            <a:solidFill>
              <a:srgbClr val="92D050"/>
            </a:solidFill>
            <a:ln>
              <a:noFill/>
            </a:ln>
            <a:effectLst/>
            <a:sp3d/>
          </c:spPr>
          <c:invertIfNegative val="0"/>
          <c:cat>
            <c:strRef>
              <c:f>Rev!$B$91:$F$91</c:f>
              <c:strCache>
                <c:ptCount val="5"/>
                <c:pt idx="0">
                  <c:v>2011/12</c:v>
                </c:pt>
                <c:pt idx="1">
                  <c:v>2012/13</c:v>
                </c:pt>
                <c:pt idx="2">
                  <c:v>2013/14</c:v>
                </c:pt>
                <c:pt idx="3">
                  <c:v>2014/15</c:v>
                </c:pt>
                <c:pt idx="4">
                  <c:v>2015/16</c:v>
                </c:pt>
              </c:strCache>
            </c:strRef>
          </c:cat>
          <c:val>
            <c:numRef>
              <c:f>Rev!$B$94:$F$94</c:f>
              <c:numCache>
                <c:formatCode>0.0</c:formatCode>
                <c:ptCount val="5"/>
                <c:pt idx="0">
                  <c:v>23.752008732660428</c:v>
                </c:pt>
                <c:pt idx="1">
                  <c:v>23.382475638440329</c:v>
                </c:pt>
                <c:pt idx="2">
                  <c:v>23.481662030278208</c:v>
                </c:pt>
                <c:pt idx="3">
                  <c:v>21.938681117335172</c:v>
                </c:pt>
                <c:pt idx="4">
                  <c:v>17.580817542666981</c:v>
                </c:pt>
              </c:numCache>
            </c:numRef>
          </c:val>
          <c:extLst>
            <c:ext xmlns:c16="http://schemas.microsoft.com/office/drawing/2014/chart" uri="{C3380CC4-5D6E-409C-BE32-E72D297353CC}">
              <c16:uniqueId val="{00000002-75EB-4025-B843-993D435C0DA8}"/>
            </c:ext>
          </c:extLst>
        </c:ser>
        <c:dLbls>
          <c:showLegendKey val="0"/>
          <c:showVal val="0"/>
          <c:showCatName val="0"/>
          <c:showSerName val="0"/>
          <c:showPercent val="0"/>
          <c:showBubbleSize val="0"/>
        </c:dLbls>
        <c:gapWidth val="150"/>
        <c:shape val="box"/>
        <c:axId val="-2110392760"/>
        <c:axId val="-2110389160"/>
        <c:axId val="0"/>
      </c:bar3DChart>
      <c:catAx>
        <c:axId val="-2110392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389160"/>
        <c:crosses val="autoZero"/>
        <c:auto val="1"/>
        <c:lblAlgn val="ctr"/>
        <c:lblOffset val="100"/>
        <c:noMultiLvlLbl val="0"/>
      </c:catAx>
      <c:valAx>
        <c:axId val="-21103891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392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Summary!$A$44</c:f>
              <c:strCache>
                <c:ptCount val="1"/>
                <c:pt idx="0">
                  <c:v>Agriculture</c:v>
                </c:pt>
              </c:strCache>
            </c:strRef>
          </c:tx>
          <c:spPr>
            <a:solidFill>
              <a:schemeClr val="accent1"/>
            </a:solidFill>
            <a:ln>
              <a:noFill/>
            </a:ln>
            <a:effectLst/>
          </c:spPr>
          <c:invertIfNegative val="0"/>
          <c:cat>
            <c:strRef>
              <c:f>Summary!$B$43:$F$43</c:f>
              <c:strCache>
                <c:ptCount val="5"/>
                <c:pt idx="0">
                  <c:v>2011/12</c:v>
                </c:pt>
                <c:pt idx="1">
                  <c:v>2012/13</c:v>
                </c:pt>
                <c:pt idx="2">
                  <c:v>2013/14</c:v>
                </c:pt>
                <c:pt idx="3">
                  <c:v>2014/15</c:v>
                </c:pt>
                <c:pt idx="4">
                  <c:v>2015/16</c:v>
                </c:pt>
              </c:strCache>
            </c:strRef>
          </c:cat>
          <c:val>
            <c:numRef>
              <c:f>Summary!$B$44:$F$44</c:f>
              <c:numCache>
                <c:formatCode>_(* #,##0.0_);_(* \(#,##0.0\);_(* "-"??_);_(@_)</c:formatCode>
                <c:ptCount val="5"/>
                <c:pt idx="0">
                  <c:v>2.050361368693018</c:v>
                </c:pt>
                <c:pt idx="1">
                  <c:v>6.2274123482734067</c:v>
                </c:pt>
                <c:pt idx="2">
                  <c:v>9.2271409666945186</c:v>
                </c:pt>
                <c:pt idx="3">
                  <c:v>1.602040052648749</c:v>
                </c:pt>
                <c:pt idx="4">
                  <c:v>15.33500150799793</c:v>
                </c:pt>
              </c:numCache>
            </c:numRef>
          </c:val>
          <c:extLst>
            <c:ext xmlns:c16="http://schemas.microsoft.com/office/drawing/2014/chart" uri="{C3380CC4-5D6E-409C-BE32-E72D297353CC}">
              <c16:uniqueId val="{00000000-E36F-4FDD-841C-094A9536B65A}"/>
            </c:ext>
          </c:extLst>
        </c:ser>
        <c:ser>
          <c:idx val="1"/>
          <c:order val="1"/>
          <c:tx>
            <c:strRef>
              <c:f>Summary!$A$45</c:f>
              <c:strCache>
                <c:ptCount val="1"/>
                <c:pt idx="0">
                  <c:v>Financial Sector</c:v>
                </c:pt>
              </c:strCache>
            </c:strRef>
          </c:tx>
          <c:spPr>
            <a:solidFill>
              <a:schemeClr val="accent2"/>
            </a:solidFill>
            <a:ln>
              <a:noFill/>
            </a:ln>
            <a:effectLst/>
          </c:spPr>
          <c:invertIfNegative val="0"/>
          <c:cat>
            <c:strRef>
              <c:f>Summary!$B$43:$F$43</c:f>
              <c:strCache>
                <c:ptCount val="5"/>
                <c:pt idx="0">
                  <c:v>2011/12</c:v>
                </c:pt>
                <c:pt idx="1">
                  <c:v>2012/13</c:v>
                </c:pt>
                <c:pt idx="2">
                  <c:v>2013/14</c:v>
                </c:pt>
                <c:pt idx="3">
                  <c:v>2014/15</c:v>
                </c:pt>
                <c:pt idx="4">
                  <c:v>2015/16</c:v>
                </c:pt>
              </c:strCache>
            </c:strRef>
          </c:cat>
          <c:val>
            <c:numRef>
              <c:f>Summary!$B$45:$F$45</c:f>
              <c:numCache>
                <c:formatCode>_(* #,##0.0_);_(* \(#,##0.0\);_(* "-"??_);_(@_)</c:formatCode>
                <c:ptCount val="5"/>
                <c:pt idx="0">
                  <c:v>0</c:v>
                </c:pt>
                <c:pt idx="1">
                  <c:v>1.507161176911328</c:v>
                </c:pt>
                <c:pt idx="2">
                  <c:v>0.22023519025371299</c:v>
                </c:pt>
                <c:pt idx="3">
                  <c:v>0</c:v>
                </c:pt>
                <c:pt idx="4">
                  <c:v>0</c:v>
                </c:pt>
              </c:numCache>
            </c:numRef>
          </c:val>
          <c:extLst>
            <c:ext xmlns:c16="http://schemas.microsoft.com/office/drawing/2014/chart" uri="{C3380CC4-5D6E-409C-BE32-E72D297353CC}">
              <c16:uniqueId val="{00000001-E36F-4FDD-841C-094A9536B65A}"/>
            </c:ext>
          </c:extLst>
        </c:ser>
        <c:ser>
          <c:idx val="2"/>
          <c:order val="2"/>
          <c:tx>
            <c:strRef>
              <c:f>Summary!$A$46</c:f>
              <c:strCache>
                <c:ptCount val="1"/>
                <c:pt idx="0">
                  <c:v>Transport &amp; communication </c:v>
                </c:pt>
              </c:strCache>
            </c:strRef>
          </c:tx>
          <c:spPr>
            <a:solidFill>
              <a:schemeClr val="accent3"/>
            </a:solidFill>
            <a:ln>
              <a:noFill/>
            </a:ln>
            <a:effectLst/>
          </c:spPr>
          <c:invertIfNegative val="0"/>
          <c:cat>
            <c:strRef>
              <c:f>Summary!$B$43:$F$43</c:f>
              <c:strCache>
                <c:ptCount val="5"/>
                <c:pt idx="0">
                  <c:v>2011/12</c:v>
                </c:pt>
                <c:pt idx="1">
                  <c:v>2012/13</c:v>
                </c:pt>
                <c:pt idx="2">
                  <c:v>2013/14</c:v>
                </c:pt>
                <c:pt idx="3">
                  <c:v>2014/15</c:v>
                </c:pt>
                <c:pt idx="4">
                  <c:v>2015/16</c:v>
                </c:pt>
              </c:strCache>
            </c:strRef>
          </c:cat>
          <c:val>
            <c:numRef>
              <c:f>Summary!$B$46:$F$46</c:f>
              <c:numCache>
                <c:formatCode>_(* #,##0.0_);_(* \(#,##0.0\);_(* "-"??_);_(@_)</c:formatCode>
                <c:ptCount val="5"/>
                <c:pt idx="0">
                  <c:v>19.422718966160719</c:v>
                </c:pt>
                <c:pt idx="1">
                  <c:v>34.438969097912548</c:v>
                </c:pt>
                <c:pt idx="2">
                  <c:v>44.464929963941053</c:v>
                </c:pt>
                <c:pt idx="3">
                  <c:v>49.314253052571402</c:v>
                </c:pt>
                <c:pt idx="4">
                  <c:v>1.0545532467764041</c:v>
                </c:pt>
              </c:numCache>
            </c:numRef>
          </c:val>
          <c:extLst>
            <c:ext xmlns:c16="http://schemas.microsoft.com/office/drawing/2014/chart" uri="{C3380CC4-5D6E-409C-BE32-E72D297353CC}">
              <c16:uniqueId val="{00000002-E36F-4FDD-841C-094A9536B65A}"/>
            </c:ext>
          </c:extLst>
        </c:ser>
        <c:ser>
          <c:idx val="3"/>
          <c:order val="3"/>
          <c:tx>
            <c:strRef>
              <c:f>Summary!$A$47</c:f>
              <c:strCache>
                <c:ptCount val="1"/>
                <c:pt idx="0">
                  <c:v>Highway Transport - Infrastructure</c:v>
                </c:pt>
              </c:strCache>
            </c:strRef>
          </c:tx>
          <c:spPr>
            <a:solidFill>
              <a:schemeClr val="accent4"/>
            </a:solidFill>
            <a:ln>
              <a:noFill/>
            </a:ln>
            <a:effectLst/>
          </c:spPr>
          <c:invertIfNegative val="0"/>
          <c:cat>
            <c:strRef>
              <c:f>Summary!$B$43:$F$43</c:f>
              <c:strCache>
                <c:ptCount val="5"/>
                <c:pt idx="0">
                  <c:v>2011/12</c:v>
                </c:pt>
                <c:pt idx="1">
                  <c:v>2012/13</c:v>
                </c:pt>
                <c:pt idx="2">
                  <c:v>2013/14</c:v>
                </c:pt>
                <c:pt idx="3">
                  <c:v>2014/15</c:v>
                </c:pt>
                <c:pt idx="4">
                  <c:v>2015/16</c:v>
                </c:pt>
              </c:strCache>
            </c:strRef>
          </c:cat>
          <c:val>
            <c:numRef>
              <c:f>Summary!$B$47:$F$47</c:f>
              <c:numCache>
                <c:formatCode>_(* #,##0.0_);_(* \(#,##0.0\);_(* "-"??_);_(@_)</c:formatCode>
                <c:ptCount val="5"/>
                <c:pt idx="0">
                  <c:v>16.63416933673939</c:v>
                </c:pt>
                <c:pt idx="1">
                  <c:v>13.369746973965899</c:v>
                </c:pt>
                <c:pt idx="2">
                  <c:v>10.14394724249369</c:v>
                </c:pt>
                <c:pt idx="3">
                  <c:v>5.5383324957586639</c:v>
                </c:pt>
                <c:pt idx="4">
                  <c:v>48.877179487415937</c:v>
                </c:pt>
              </c:numCache>
            </c:numRef>
          </c:val>
          <c:extLst>
            <c:ext xmlns:c16="http://schemas.microsoft.com/office/drawing/2014/chart" uri="{C3380CC4-5D6E-409C-BE32-E72D297353CC}">
              <c16:uniqueId val="{00000003-E36F-4FDD-841C-094A9536B65A}"/>
            </c:ext>
          </c:extLst>
        </c:ser>
        <c:ser>
          <c:idx val="4"/>
          <c:order val="4"/>
          <c:tx>
            <c:strRef>
              <c:f>Summary!$A$48</c:f>
              <c:strCache>
                <c:ptCount val="1"/>
                <c:pt idx="0">
                  <c:v>Electricity, Gas &amp; Steam</c:v>
                </c:pt>
              </c:strCache>
            </c:strRef>
          </c:tx>
          <c:spPr>
            <a:solidFill>
              <a:schemeClr val="accent5"/>
            </a:solidFill>
            <a:ln>
              <a:noFill/>
            </a:ln>
            <a:effectLst/>
          </c:spPr>
          <c:invertIfNegative val="0"/>
          <c:cat>
            <c:strRef>
              <c:f>Summary!$B$43:$F$43</c:f>
              <c:strCache>
                <c:ptCount val="5"/>
                <c:pt idx="0">
                  <c:v>2011/12</c:v>
                </c:pt>
                <c:pt idx="1">
                  <c:v>2012/13</c:v>
                </c:pt>
                <c:pt idx="2">
                  <c:v>2013/14</c:v>
                </c:pt>
                <c:pt idx="3">
                  <c:v>2014/15</c:v>
                </c:pt>
                <c:pt idx="4">
                  <c:v>2015/16</c:v>
                </c:pt>
              </c:strCache>
            </c:strRef>
          </c:cat>
          <c:val>
            <c:numRef>
              <c:f>Summary!$B$48:$F$48</c:f>
              <c:numCache>
                <c:formatCode>_(* #,##0.0_);_(* \(#,##0.0\);_(* "-"??_);_(@_)</c:formatCode>
                <c:ptCount val="5"/>
                <c:pt idx="0">
                  <c:v>30.798380021231289</c:v>
                </c:pt>
                <c:pt idx="1">
                  <c:v>15.018483912752091</c:v>
                </c:pt>
                <c:pt idx="2">
                  <c:v>14.357431724712679</c:v>
                </c:pt>
                <c:pt idx="3">
                  <c:v>17.24955640967428</c:v>
                </c:pt>
                <c:pt idx="4">
                  <c:v>15.122529058551221</c:v>
                </c:pt>
              </c:numCache>
            </c:numRef>
          </c:val>
          <c:extLst>
            <c:ext xmlns:c16="http://schemas.microsoft.com/office/drawing/2014/chart" uri="{C3380CC4-5D6E-409C-BE32-E72D297353CC}">
              <c16:uniqueId val="{00000004-E36F-4FDD-841C-094A9536B65A}"/>
            </c:ext>
          </c:extLst>
        </c:ser>
        <c:ser>
          <c:idx val="5"/>
          <c:order val="5"/>
          <c:tx>
            <c:strRef>
              <c:f>Summary!$A$49</c:f>
              <c:strCache>
                <c:ptCount val="1"/>
                <c:pt idx="0">
                  <c:v>Industry &amp; Tourism</c:v>
                </c:pt>
              </c:strCache>
            </c:strRef>
          </c:tx>
          <c:spPr>
            <a:solidFill>
              <a:schemeClr val="accent6"/>
            </a:solidFill>
            <a:ln>
              <a:noFill/>
            </a:ln>
            <a:effectLst/>
          </c:spPr>
          <c:invertIfNegative val="0"/>
          <c:cat>
            <c:strRef>
              <c:f>Summary!$B$43:$F$43</c:f>
              <c:strCache>
                <c:ptCount val="5"/>
                <c:pt idx="0">
                  <c:v>2011/12</c:v>
                </c:pt>
                <c:pt idx="1">
                  <c:v>2012/13</c:v>
                </c:pt>
                <c:pt idx="2">
                  <c:v>2013/14</c:v>
                </c:pt>
                <c:pt idx="3">
                  <c:v>2014/15</c:v>
                </c:pt>
                <c:pt idx="4">
                  <c:v>2015/16</c:v>
                </c:pt>
              </c:strCache>
            </c:strRef>
          </c:cat>
          <c:val>
            <c:numRef>
              <c:f>Summary!$B$49:$F$49</c:f>
              <c:numCache>
                <c:formatCode>_(* #,##0.0_);_(* \(#,##0.0\);_(* "-"??_);_(@_)</c:formatCode>
                <c:ptCount val="5"/>
                <c:pt idx="0">
                  <c:v>9.6826693294684087</c:v>
                </c:pt>
                <c:pt idx="1">
                  <c:v>7.1145145451361254</c:v>
                </c:pt>
                <c:pt idx="2">
                  <c:v>5.050219648530641</c:v>
                </c:pt>
                <c:pt idx="3">
                  <c:v>17.928250784765321</c:v>
                </c:pt>
                <c:pt idx="4">
                  <c:v>8.6152643823188182</c:v>
                </c:pt>
              </c:numCache>
            </c:numRef>
          </c:val>
          <c:extLst>
            <c:ext xmlns:c16="http://schemas.microsoft.com/office/drawing/2014/chart" uri="{C3380CC4-5D6E-409C-BE32-E72D297353CC}">
              <c16:uniqueId val="{00000005-E36F-4FDD-841C-094A9536B65A}"/>
            </c:ext>
          </c:extLst>
        </c:ser>
        <c:ser>
          <c:idx val="6"/>
          <c:order val="6"/>
          <c:tx>
            <c:strRef>
              <c:f>Summary!$A$50</c:f>
              <c:strCache>
                <c:ptCount val="1"/>
                <c:pt idx="0">
                  <c:v>Education &amp; Capacity Building</c:v>
                </c:pt>
              </c:strCache>
            </c:strRef>
          </c:tx>
          <c:spPr>
            <a:solidFill>
              <a:schemeClr val="accent1">
                <a:lumMod val="60000"/>
              </a:schemeClr>
            </a:solidFill>
            <a:ln>
              <a:noFill/>
            </a:ln>
            <a:effectLst/>
          </c:spPr>
          <c:invertIfNegative val="0"/>
          <c:cat>
            <c:strRef>
              <c:f>Summary!$B$43:$F$43</c:f>
              <c:strCache>
                <c:ptCount val="5"/>
                <c:pt idx="0">
                  <c:v>2011/12</c:v>
                </c:pt>
                <c:pt idx="1">
                  <c:v>2012/13</c:v>
                </c:pt>
                <c:pt idx="2">
                  <c:v>2013/14</c:v>
                </c:pt>
                <c:pt idx="3">
                  <c:v>2014/15</c:v>
                </c:pt>
                <c:pt idx="4">
                  <c:v>2015/16</c:v>
                </c:pt>
              </c:strCache>
            </c:strRef>
          </c:cat>
          <c:val>
            <c:numRef>
              <c:f>Summary!$B$50:$F$50</c:f>
              <c:numCache>
                <c:formatCode>_(* #,##0.0_);_(* \(#,##0.0\);_(* "-"??_);_(@_)</c:formatCode>
                <c:ptCount val="5"/>
                <c:pt idx="0">
                  <c:v>2.318782446836873</c:v>
                </c:pt>
                <c:pt idx="1">
                  <c:v>0.57927097349592405</c:v>
                </c:pt>
                <c:pt idx="2">
                  <c:v>1.8433479300587601</c:v>
                </c:pt>
                <c:pt idx="3">
                  <c:v>0.23730846853117099</c:v>
                </c:pt>
                <c:pt idx="4">
                  <c:v>0.84457106912902302</c:v>
                </c:pt>
              </c:numCache>
            </c:numRef>
          </c:val>
          <c:extLst>
            <c:ext xmlns:c16="http://schemas.microsoft.com/office/drawing/2014/chart" uri="{C3380CC4-5D6E-409C-BE32-E72D297353CC}">
              <c16:uniqueId val="{00000006-E36F-4FDD-841C-094A9536B65A}"/>
            </c:ext>
          </c:extLst>
        </c:ser>
        <c:ser>
          <c:idx val="7"/>
          <c:order val="7"/>
          <c:tx>
            <c:strRef>
              <c:f>Summary!$A$51</c:f>
              <c:strCache>
                <c:ptCount val="1"/>
                <c:pt idx="0">
                  <c:v>Health</c:v>
                </c:pt>
              </c:strCache>
            </c:strRef>
          </c:tx>
          <c:spPr>
            <a:solidFill>
              <a:schemeClr val="accent2">
                <a:lumMod val="60000"/>
              </a:schemeClr>
            </a:solidFill>
            <a:ln>
              <a:noFill/>
            </a:ln>
            <a:effectLst/>
          </c:spPr>
          <c:invertIfNegative val="0"/>
          <c:cat>
            <c:strRef>
              <c:f>Summary!$B$43:$F$43</c:f>
              <c:strCache>
                <c:ptCount val="5"/>
                <c:pt idx="0">
                  <c:v>2011/12</c:v>
                </c:pt>
                <c:pt idx="1">
                  <c:v>2012/13</c:v>
                </c:pt>
                <c:pt idx="2">
                  <c:v>2013/14</c:v>
                </c:pt>
                <c:pt idx="3">
                  <c:v>2014/15</c:v>
                </c:pt>
                <c:pt idx="4">
                  <c:v>2015/16</c:v>
                </c:pt>
              </c:strCache>
            </c:strRef>
          </c:cat>
          <c:val>
            <c:numRef>
              <c:f>Summary!$B$51:$F$51</c:f>
              <c:numCache>
                <c:formatCode>_(* #,##0.0_);_(* \(#,##0.0\);_(* "-"??_);_(@_)</c:formatCode>
                <c:ptCount val="5"/>
                <c:pt idx="0">
                  <c:v>0</c:v>
                </c:pt>
                <c:pt idx="1">
                  <c:v>0.83260735115148599</c:v>
                </c:pt>
                <c:pt idx="2">
                  <c:v>0.217983685788916</c:v>
                </c:pt>
                <c:pt idx="3">
                  <c:v>0.41926326585718698</c:v>
                </c:pt>
                <c:pt idx="4">
                  <c:v>0.16601811995547</c:v>
                </c:pt>
              </c:numCache>
            </c:numRef>
          </c:val>
          <c:extLst>
            <c:ext xmlns:c16="http://schemas.microsoft.com/office/drawing/2014/chart" uri="{C3380CC4-5D6E-409C-BE32-E72D297353CC}">
              <c16:uniqueId val="{00000007-E36F-4FDD-841C-094A9536B65A}"/>
            </c:ext>
          </c:extLst>
        </c:ser>
        <c:ser>
          <c:idx val="8"/>
          <c:order val="8"/>
          <c:tx>
            <c:strRef>
              <c:f>Summary!$A$52</c:f>
              <c:strCache>
                <c:ptCount val="1"/>
                <c:pt idx="0">
                  <c:v>Public and Social Admin</c:v>
                </c:pt>
              </c:strCache>
            </c:strRef>
          </c:tx>
          <c:spPr>
            <a:solidFill>
              <a:schemeClr val="accent3">
                <a:lumMod val="60000"/>
              </a:schemeClr>
            </a:solidFill>
            <a:ln>
              <a:noFill/>
            </a:ln>
            <a:effectLst/>
          </c:spPr>
          <c:invertIfNegative val="0"/>
          <c:cat>
            <c:strRef>
              <c:f>Summary!$B$43:$F$43</c:f>
              <c:strCache>
                <c:ptCount val="5"/>
                <c:pt idx="0">
                  <c:v>2011/12</c:v>
                </c:pt>
                <c:pt idx="1">
                  <c:v>2012/13</c:v>
                </c:pt>
                <c:pt idx="2">
                  <c:v>2013/14</c:v>
                </c:pt>
                <c:pt idx="3">
                  <c:v>2014/15</c:v>
                </c:pt>
                <c:pt idx="4">
                  <c:v>2015/16</c:v>
                </c:pt>
              </c:strCache>
            </c:strRef>
          </c:cat>
          <c:val>
            <c:numRef>
              <c:f>Summary!$B$52:$F$52</c:f>
              <c:numCache>
                <c:formatCode>_(* #,##0.0_);_(* \(#,##0.0\);_(* "-"??_);_(@_)</c:formatCode>
                <c:ptCount val="5"/>
                <c:pt idx="0">
                  <c:v>2.0157029360297378</c:v>
                </c:pt>
                <c:pt idx="1">
                  <c:v>2.5299647760095612</c:v>
                </c:pt>
                <c:pt idx="2">
                  <c:v>2.8843357760571262</c:v>
                </c:pt>
                <c:pt idx="3">
                  <c:v>2.6659664824734559</c:v>
                </c:pt>
                <c:pt idx="4">
                  <c:v>2.9007054847775211</c:v>
                </c:pt>
              </c:numCache>
            </c:numRef>
          </c:val>
          <c:extLst>
            <c:ext xmlns:c16="http://schemas.microsoft.com/office/drawing/2014/chart" uri="{C3380CC4-5D6E-409C-BE32-E72D297353CC}">
              <c16:uniqueId val="{00000008-E36F-4FDD-841C-094A9536B65A}"/>
            </c:ext>
          </c:extLst>
        </c:ser>
        <c:ser>
          <c:idx val="9"/>
          <c:order val="9"/>
          <c:tx>
            <c:strRef>
              <c:f>Summary!$A$53</c:f>
              <c:strCache>
                <c:ptCount val="1"/>
                <c:pt idx="0">
                  <c:v>Water Works &amp; Supply</c:v>
                </c:pt>
              </c:strCache>
            </c:strRef>
          </c:tx>
          <c:spPr>
            <a:solidFill>
              <a:schemeClr val="accent4">
                <a:lumMod val="60000"/>
              </a:schemeClr>
            </a:solidFill>
            <a:ln>
              <a:noFill/>
            </a:ln>
            <a:effectLst/>
          </c:spPr>
          <c:invertIfNegative val="0"/>
          <c:cat>
            <c:strRef>
              <c:f>Summary!$B$43:$F$43</c:f>
              <c:strCache>
                <c:ptCount val="5"/>
                <c:pt idx="0">
                  <c:v>2011/12</c:v>
                </c:pt>
                <c:pt idx="1">
                  <c:v>2012/13</c:v>
                </c:pt>
                <c:pt idx="2">
                  <c:v>2013/14</c:v>
                </c:pt>
                <c:pt idx="3">
                  <c:v>2014/15</c:v>
                </c:pt>
                <c:pt idx="4">
                  <c:v>2015/16</c:v>
                </c:pt>
              </c:strCache>
            </c:strRef>
          </c:cat>
          <c:val>
            <c:numRef>
              <c:f>Summary!$B$53:$F$53</c:f>
              <c:numCache>
                <c:formatCode>_(* #,##0.0_);_(* \(#,##0.0\);_(* "-"??_);_(@_)</c:formatCode>
                <c:ptCount val="5"/>
                <c:pt idx="0">
                  <c:v>4.7188183171028459</c:v>
                </c:pt>
                <c:pt idx="1">
                  <c:v>6.4677069086163836</c:v>
                </c:pt>
                <c:pt idx="2">
                  <c:v>2.5673810278086222</c:v>
                </c:pt>
                <c:pt idx="3">
                  <c:v>1.5076187393515179</c:v>
                </c:pt>
                <c:pt idx="4">
                  <c:v>3.7647068227605982</c:v>
                </c:pt>
              </c:numCache>
            </c:numRef>
          </c:val>
          <c:extLst>
            <c:ext xmlns:c16="http://schemas.microsoft.com/office/drawing/2014/chart" uri="{C3380CC4-5D6E-409C-BE32-E72D297353CC}">
              <c16:uniqueId val="{00000009-E36F-4FDD-841C-094A9536B65A}"/>
            </c:ext>
          </c:extLst>
        </c:ser>
        <c:ser>
          <c:idx val="10"/>
          <c:order val="10"/>
          <c:tx>
            <c:strRef>
              <c:f>Summary!$A$54</c:f>
              <c:strCache>
                <c:ptCount val="1"/>
                <c:pt idx="0">
                  <c:v>PBS</c:v>
                </c:pt>
              </c:strCache>
            </c:strRef>
          </c:tx>
          <c:spPr>
            <a:solidFill>
              <a:schemeClr val="accent5">
                <a:lumMod val="60000"/>
              </a:schemeClr>
            </a:solidFill>
            <a:ln>
              <a:noFill/>
            </a:ln>
            <a:effectLst/>
          </c:spPr>
          <c:invertIfNegative val="0"/>
          <c:cat>
            <c:strRef>
              <c:f>Summary!$B$43:$F$43</c:f>
              <c:strCache>
                <c:ptCount val="5"/>
                <c:pt idx="0">
                  <c:v>2011/12</c:v>
                </c:pt>
                <c:pt idx="1">
                  <c:v>2012/13</c:v>
                </c:pt>
                <c:pt idx="2">
                  <c:v>2013/14</c:v>
                </c:pt>
                <c:pt idx="3">
                  <c:v>2014/15</c:v>
                </c:pt>
                <c:pt idx="4">
                  <c:v>2015/16</c:v>
                </c:pt>
              </c:strCache>
            </c:strRef>
          </c:cat>
          <c:val>
            <c:numRef>
              <c:f>Summary!$B$54:$F$54</c:f>
              <c:numCache>
                <c:formatCode>_(* #,##0.0_);_(* \(#,##0.0\);_(* "-"??_);_(@_)</c:formatCode>
                <c:ptCount val="5"/>
                <c:pt idx="0">
                  <c:v>12.358397277737669</c:v>
                </c:pt>
                <c:pt idx="1">
                  <c:v>11.914161935775139</c:v>
                </c:pt>
                <c:pt idx="2">
                  <c:v>9.0230468436603068</c:v>
                </c:pt>
                <c:pt idx="3">
                  <c:v>3.5374102483682202</c:v>
                </c:pt>
                <c:pt idx="4">
                  <c:v>3.319470820317052</c:v>
                </c:pt>
              </c:numCache>
            </c:numRef>
          </c:val>
          <c:extLst>
            <c:ext xmlns:c16="http://schemas.microsoft.com/office/drawing/2014/chart" uri="{C3380CC4-5D6E-409C-BE32-E72D297353CC}">
              <c16:uniqueId val="{0000000A-E36F-4FDD-841C-094A9536B65A}"/>
            </c:ext>
          </c:extLst>
        </c:ser>
        <c:dLbls>
          <c:showLegendKey val="0"/>
          <c:showVal val="0"/>
          <c:showCatName val="0"/>
          <c:showSerName val="0"/>
          <c:showPercent val="0"/>
          <c:showBubbleSize val="0"/>
        </c:dLbls>
        <c:gapWidth val="219"/>
        <c:axId val="-2110277720"/>
        <c:axId val="-2110274232"/>
      </c:barChart>
      <c:catAx>
        <c:axId val="-2110277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0274232"/>
        <c:crosses val="autoZero"/>
        <c:auto val="1"/>
        <c:lblAlgn val="ctr"/>
        <c:lblOffset val="100"/>
        <c:noMultiLvlLbl val="0"/>
      </c:catAx>
      <c:valAx>
        <c:axId val="-2110274232"/>
        <c:scaling>
          <c:orientation val="minMax"/>
        </c:scaling>
        <c:delete val="0"/>
        <c:axPos val="b"/>
        <c:numFmt formatCode="_(* #,##0.0_);_(* \(#,##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02777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Rev!$A$13</c:f>
              <c:strCache>
                <c:ptCount val="1"/>
                <c:pt idx="0">
                  <c:v>Tax revenue </c:v>
                </c:pt>
              </c:strCache>
            </c:strRef>
          </c:tx>
          <c:spPr>
            <a:ln w="28575" cap="rnd">
              <a:solidFill>
                <a:schemeClr val="accent1"/>
              </a:solidFill>
              <a:round/>
            </a:ln>
            <a:effectLst/>
          </c:spPr>
          <c:marker>
            <c:symbol val="none"/>
          </c:marker>
          <c:cat>
            <c:strRef>
              <c:f>Rev!$B$12:$G$12</c:f>
              <c:strCache>
                <c:ptCount val="6"/>
                <c:pt idx="0">
                  <c:v>2010/11</c:v>
                </c:pt>
                <c:pt idx="1">
                  <c:v>2011/12</c:v>
                </c:pt>
                <c:pt idx="2">
                  <c:v>2012/13</c:v>
                </c:pt>
                <c:pt idx="3">
                  <c:v>2013/14</c:v>
                </c:pt>
                <c:pt idx="4">
                  <c:v>2014/15</c:v>
                </c:pt>
                <c:pt idx="5">
                  <c:v>2015/16</c:v>
                </c:pt>
              </c:strCache>
            </c:strRef>
          </c:cat>
          <c:val>
            <c:numRef>
              <c:f>Rev!$B$13:$G$13</c:f>
              <c:numCache>
                <c:formatCode>0.0</c:formatCode>
                <c:ptCount val="6"/>
                <c:pt idx="0">
                  <c:v>85.33115682909461</c:v>
                </c:pt>
                <c:pt idx="1">
                  <c:v>83.352920904507613</c:v>
                </c:pt>
                <c:pt idx="2">
                  <c:v>86.244783056081218</c:v>
                </c:pt>
                <c:pt idx="3">
                  <c:v>91.069123202632113</c:v>
                </c:pt>
                <c:pt idx="4">
                  <c:v>88.578357854927773</c:v>
                </c:pt>
                <c:pt idx="5">
                  <c:v>82.195103366599298</c:v>
                </c:pt>
              </c:numCache>
            </c:numRef>
          </c:val>
          <c:smooth val="0"/>
          <c:extLst>
            <c:ext xmlns:c16="http://schemas.microsoft.com/office/drawing/2014/chart" uri="{C3380CC4-5D6E-409C-BE32-E72D297353CC}">
              <c16:uniqueId val="{00000000-3ABC-4DB0-8DA2-7DE3EA34A0DF}"/>
            </c:ext>
          </c:extLst>
        </c:ser>
        <c:ser>
          <c:idx val="1"/>
          <c:order val="1"/>
          <c:tx>
            <c:strRef>
              <c:f>Rev!$A$14</c:f>
              <c:strCache>
                <c:ptCount val="1"/>
                <c:pt idx="0">
                  <c:v>Non-tax revenue</c:v>
                </c:pt>
              </c:strCache>
            </c:strRef>
          </c:tx>
          <c:spPr>
            <a:ln w="28575" cap="rnd">
              <a:solidFill>
                <a:schemeClr val="accent2"/>
              </a:solidFill>
              <a:round/>
            </a:ln>
            <a:effectLst/>
          </c:spPr>
          <c:marker>
            <c:symbol val="none"/>
          </c:marker>
          <c:cat>
            <c:strRef>
              <c:f>Rev!$B$12:$G$12</c:f>
              <c:strCache>
                <c:ptCount val="6"/>
                <c:pt idx="0">
                  <c:v>2010/11</c:v>
                </c:pt>
                <c:pt idx="1">
                  <c:v>2011/12</c:v>
                </c:pt>
                <c:pt idx="2">
                  <c:v>2012/13</c:v>
                </c:pt>
                <c:pt idx="3">
                  <c:v>2013/14</c:v>
                </c:pt>
                <c:pt idx="4">
                  <c:v>2014/15</c:v>
                </c:pt>
                <c:pt idx="5">
                  <c:v>2015/16</c:v>
                </c:pt>
              </c:strCache>
            </c:strRef>
          </c:cat>
          <c:val>
            <c:numRef>
              <c:f>Rev!$B$14:$G$14</c:f>
              <c:numCache>
                <c:formatCode>0.0</c:formatCode>
                <c:ptCount val="6"/>
                <c:pt idx="0">
                  <c:v>14.668843170905371</c:v>
                </c:pt>
                <c:pt idx="1">
                  <c:v>16.647079095492401</c:v>
                </c:pt>
                <c:pt idx="2">
                  <c:v>13.75521694391875</c:v>
                </c:pt>
                <c:pt idx="3">
                  <c:v>8.9308767973679348</c:v>
                </c:pt>
                <c:pt idx="4">
                  <c:v>11.42164214507182</c:v>
                </c:pt>
                <c:pt idx="5">
                  <c:v>17.8048966334004</c:v>
                </c:pt>
              </c:numCache>
            </c:numRef>
          </c:val>
          <c:smooth val="0"/>
          <c:extLst>
            <c:ext xmlns:c16="http://schemas.microsoft.com/office/drawing/2014/chart" uri="{C3380CC4-5D6E-409C-BE32-E72D297353CC}">
              <c16:uniqueId val="{00000001-3ABC-4DB0-8DA2-7DE3EA34A0DF}"/>
            </c:ext>
          </c:extLst>
        </c:ser>
        <c:dLbls>
          <c:showLegendKey val="0"/>
          <c:showVal val="0"/>
          <c:showCatName val="0"/>
          <c:showSerName val="0"/>
          <c:showPercent val="0"/>
          <c:showBubbleSize val="0"/>
        </c:dLbls>
        <c:smooth val="0"/>
        <c:axId val="-2133900184"/>
        <c:axId val="-2133896696"/>
      </c:lineChart>
      <c:catAx>
        <c:axId val="-2133900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33896696"/>
        <c:crosses val="autoZero"/>
        <c:auto val="1"/>
        <c:lblAlgn val="ctr"/>
        <c:lblOffset val="100"/>
        <c:noMultiLvlLbl val="0"/>
      </c:catAx>
      <c:valAx>
        <c:axId val="-2133896696"/>
        <c:scaling>
          <c:orientation val="minMax"/>
        </c:scaling>
        <c:delete val="0"/>
        <c:axPos val="l"/>
        <c:numFmt formatCode="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33900184"/>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spPr>
            <a:solidFill>
              <a:schemeClr val="accent2">
                <a:lumMod val="60000"/>
                <a:lumOff val="40000"/>
              </a:schemeClr>
            </a:solidFill>
          </c:spPr>
          <c:invertIfNegative val="0"/>
          <c:cat>
            <c:strRef>
              <c:f>Remitt!$A$18:$A$21</c:f>
              <c:strCache>
                <c:ptCount val="4"/>
                <c:pt idx="0">
                  <c:v>2000/01</c:v>
                </c:pt>
                <c:pt idx="1">
                  <c:v>2005/06</c:v>
                </c:pt>
                <c:pt idx="2">
                  <c:v>2010/11</c:v>
                </c:pt>
                <c:pt idx="3">
                  <c:v>2015/16</c:v>
                </c:pt>
              </c:strCache>
            </c:strRef>
          </c:cat>
          <c:val>
            <c:numRef>
              <c:f>Remitt!$B$18:$B$21</c:f>
              <c:numCache>
                <c:formatCode>#,##0.0</c:formatCode>
                <c:ptCount val="4"/>
                <c:pt idx="0">
                  <c:v>3.1581000000000001</c:v>
                </c:pt>
                <c:pt idx="1">
                  <c:v>10.645899999999999</c:v>
                </c:pt>
                <c:pt idx="2">
                  <c:v>44.270900000000012</c:v>
                </c:pt>
                <c:pt idx="3" formatCode="#,##0.00">
                  <c:v>126.66</c:v>
                </c:pt>
              </c:numCache>
            </c:numRef>
          </c:val>
          <c:extLst>
            <c:ext xmlns:c16="http://schemas.microsoft.com/office/drawing/2014/chart" uri="{C3380CC4-5D6E-409C-BE32-E72D297353CC}">
              <c16:uniqueId val="{00000000-B9B8-4D32-A6C9-B0EC453C22D7}"/>
            </c:ext>
          </c:extLst>
        </c:ser>
        <c:dLbls>
          <c:showLegendKey val="0"/>
          <c:showVal val="0"/>
          <c:showCatName val="0"/>
          <c:showSerName val="0"/>
          <c:showPercent val="0"/>
          <c:showBubbleSize val="0"/>
        </c:dLbls>
        <c:gapWidth val="150"/>
        <c:shape val="box"/>
        <c:axId val="-2110346616"/>
        <c:axId val="-2110268376"/>
        <c:axId val="0"/>
      </c:bar3DChart>
      <c:catAx>
        <c:axId val="-2110346616"/>
        <c:scaling>
          <c:orientation val="minMax"/>
        </c:scaling>
        <c:delete val="0"/>
        <c:axPos val="b"/>
        <c:numFmt formatCode="General" sourceLinked="1"/>
        <c:majorTickMark val="out"/>
        <c:minorTickMark val="none"/>
        <c:tickLblPos val="nextTo"/>
        <c:txPr>
          <a:bodyPr/>
          <a:lstStyle/>
          <a:p>
            <a:pPr>
              <a:defRPr>
                <a:latin typeface="Garamond" panose="02020404030301010803" pitchFamily="18" charset="0"/>
              </a:defRPr>
            </a:pPr>
            <a:endParaRPr lang="en-US"/>
          </a:p>
        </c:txPr>
        <c:crossAx val="-2110268376"/>
        <c:crosses val="autoZero"/>
        <c:auto val="1"/>
        <c:lblAlgn val="ctr"/>
        <c:lblOffset val="100"/>
        <c:noMultiLvlLbl val="0"/>
      </c:catAx>
      <c:valAx>
        <c:axId val="-2110268376"/>
        <c:scaling>
          <c:orientation val="minMax"/>
        </c:scaling>
        <c:delete val="0"/>
        <c:axPos val="l"/>
        <c:numFmt formatCode="#,##0.0" sourceLinked="1"/>
        <c:majorTickMark val="out"/>
        <c:minorTickMark val="none"/>
        <c:tickLblPos val="nextTo"/>
        <c:txPr>
          <a:bodyPr/>
          <a:lstStyle/>
          <a:p>
            <a:pPr>
              <a:defRPr>
                <a:latin typeface="Garamond" panose="02020404030301010803" pitchFamily="18" charset="0"/>
              </a:defRPr>
            </a:pPr>
            <a:endParaRPr lang="en-US"/>
          </a:p>
        </c:txPr>
        <c:crossAx val="-2110346616"/>
        <c:crosses val="autoZero"/>
        <c:crossBetween val="between"/>
      </c:valAx>
      <c:spPr>
        <a:noFill/>
        <a:ln w="25400">
          <a:noFill/>
        </a:ln>
      </c:spPr>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FDI!$B$22</c:f>
              <c:strCache>
                <c:ptCount val="1"/>
                <c:pt idx="0">
                  <c:v>FDI (In billion ETB)</c:v>
                </c:pt>
              </c:strCache>
            </c:strRef>
          </c:tx>
          <c:spPr>
            <a:solidFill>
              <a:schemeClr val="accent1"/>
            </a:solidFill>
            <a:ln>
              <a:noFill/>
            </a:ln>
            <a:effectLst/>
            <a:sp3d/>
          </c:spPr>
          <c:invertIfNegative val="0"/>
          <c:cat>
            <c:numRef>
              <c:f>FDI!$A$23:$A$38</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FDI!$B$23:$B$38</c:f>
              <c:numCache>
                <c:formatCode>0.00</c:formatCode>
                <c:ptCount val="16"/>
                <c:pt idx="0">
                  <c:v>0.98621877999999796</c:v>
                </c:pt>
                <c:pt idx="1">
                  <c:v>1.918816952</c:v>
                </c:pt>
                <c:pt idx="2">
                  <c:v>0.68921972899999995</c:v>
                </c:pt>
                <c:pt idx="3">
                  <c:v>2.5498951564999999</c:v>
                </c:pt>
                <c:pt idx="4">
                  <c:v>4.9053003427999986</c:v>
                </c:pt>
                <c:pt idx="5">
                  <c:v>4.424041055</c:v>
                </c:pt>
                <c:pt idx="6">
                  <c:v>35.019997972760002</c:v>
                </c:pt>
                <c:pt idx="7">
                  <c:v>15.244744735999999</c:v>
                </c:pt>
                <c:pt idx="8">
                  <c:v>30.301270498449998</c:v>
                </c:pt>
                <c:pt idx="9">
                  <c:v>31.371719164880009</c:v>
                </c:pt>
                <c:pt idx="10">
                  <c:v>31.36176385084001</c:v>
                </c:pt>
                <c:pt idx="11">
                  <c:v>29.142833982989998</c:v>
                </c:pt>
                <c:pt idx="12">
                  <c:v>53.266104582810009</c:v>
                </c:pt>
                <c:pt idx="13">
                  <c:v>44.566526217320003</c:v>
                </c:pt>
                <c:pt idx="14">
                  <c:v>48.042945365000008</c:v>
                </c:pt>
                <c:pt idx="15">
                  <c:v>55.321661853999878</c:v>
                </c:pt>
              </c:numCache>
            </c:numRef>
          </c:val>
          <c:extLst>
            <c:ext xmlns:c16="http://schemas.microsoft.com/office/drawing/2014/chart" uri="{C3380CC4-5D6E-409C-BE32-E72D297353CC}">
              <c16:uniqueId val="{00000000-838A-43E7-8A7B-B0B2AED5D5ED}"/>
            </c:ext>
          </c:extLst>
        </c:ser>
        <c:dLbls>
          <c:showLegendKey val="0"/>
          <c:showVal val="0"/>
          <c:showCatName val="0"/>
          <c:showSerName val="0"/>
          <c:showPercent val="0"/>
          <c:showBubbleSize val="0"/>
        </c:dLbls>
        <c:gapWidth val="150"/>
        <c:shape val="box"/>
        <c:axId val="-2110236264"/>
        <c:axId val="-2110232712"/>
        <c:axId val="0"/>
      </c:bar3DChart>
      <c:catAx>
        <c:axId val="-2110236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0232712"/>
        <c:crosses val="autoZero"/>
        <c:auto val="1"/>
        <c:lblAlgn val="ctr"/>
        <c:lblOffset val="100"/>
        <c:noMultiLvlLbl val="0"/>
      </c:catAx>
      <c:valAx>
        <c:axId val="-211023271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0236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Sheet1!$B$10</c:f>
              <c:strCache>
                <c:ptCount val="1"/>
                <c:pt idx="0">
                  <c:v>Customs</c:v>
                </c:pt>
              </c:strCache>
            </c:strRef>
          </c:tx>
          <c:spPr>
            <a:solidFill>
              <a:schemeClr val="accent1"/>
            </a:solidFill>
            <a:ln>
              <a:noFill/>
            </a:ln>
            <a:effectLst/>
          </c:spPr>
          <c:invertIfNegative val="0"/>
          <c:cat>
            <c:numRef>
              <c:f>Sheet1!$A$11:$A$15</c:f>
              <c:numCache>
                <c:formatCode>General</c:formatCode>
                <c:ptCount val="5"/>
                <c:pt idx="0">
                  <c:v>2007</c:v>
                </c:pt>
                <c:pt idx="1">
                  <c:v>2010</c:v>
                </c:pt>
                <c:pt idx="2">
                  <c:v>2012</c:v>
                </c:pt>
                <c:pt idx="3">
                  <c:v>2014</c:v>
                </c:pt>
                <c:pt idx="4">
                  <c:v>2016</c:v>
                </c:pt>
              </c:numCache>
            </c:numRef>
          </c:cat>
          <c:val>
            <c:numRef>
              <c:f>Sheet1!$B$11:$B$15</c:f>
              <c:numCache>
                <c:formatCode>General</c:formatCode>
                <c:ptCount val="5"/>
                <c:pt idx="0">
                  <c:v>109</c:v>
                </c:pt>
                <c:pt idx="1">
                  <c:v>120</c:v>
                </c:pt>
                <c:pt idx="2">
                  <c:v>139</c:v>
                </c:pt>
                <c:pt idx="3">
                  <c:v>102</c:v>
                </c:pt>
                <c:pt idx="4" formatCode="0">
                  <c:v>80</c:v>
                </c:pt>
              </c:numCache>
            </c:numRef>
          </c:val>
          <c:extLst>
            <c:ext xmlns:c16="http://schemas.microsoft.com/office/drawing/2014/chart" uri="{C3380CC4-5D6E-409C-BE32-E72D297353CC}">
              <c16:uniqueId val="{00000000-C2C7-4E53-9E46-2A4CBB118EE1}"/>
            </c:ext>
          </c:extLst>
        </c:ser>
        <c:ser>
          <c:idx val="1"/>
          <c:order val="1"/>
          <c:tx>
            <c:strRef>
              <c:f>Sheet1!$C$10</c:f>
              <c:strCache>
                <c:ptCount val="1"/>
                <c:pt idx="0">
                  <c:v>Infrastructure</c:v>
                </c:pt>
              </c:strCache>
            </c:strRef>
          </c:tx>
          <c:spPr>
            <a:solidFill>
              <a:schemeClr val="accent2"/>
            </a:solidFill>
            <a:ln>
              <a:noFill/>
            </a:ln>
            <a:effectLst/>
          </c:spPr>
          <c:invertIfNegative val="0"/>
          <c:cat>
            <c:numRef>
              <c:f>Sheet1!$A$11:$A$15</c:f>
              <c:numCache>
                <c:formatCode>General</c:formatCode>
                <c:ptCount val="5"/>
                <c:pt idx="0">
                  <c:v>2007</c:v>
                </c:pt>
                <c:pt idx="1">
                  <c:v>2010</c:v>
                </c:pt>
                <c:pt idx="2">
                  <c:v>2012</c:v>
                </c:pt>
                <c:pt idx="3">
                  <c:v>2014</c:v>
                </c:pt>
                <c:pt idx="4">
                  <c:v>2016</c:v>
                </c:pt>
              </c:numCache>
            </c:numRef>
          </c:cat>
          <c:val>
            <c:numRef>
              <c:f>Sheet1!$C$11:$C$15</c:f>
              <c:numCache>
                <c:formatCode>General</c:formatCode>
                <c:ptCount val="5"/>
                <c:pt idx="0">
                  <c:v>135</c:v>
                </c:pt>
                <c:pt idx="1">
                  <c:v>145</c:v>
                </c:pt>
                <c:pt idx="2">
                  <c:v>124</c:v>
                </c:pt>
                <c:pt idx="3">
                  <c:v>134</c:v>
                </c:pt>
                <c:pt idx="4" formatCode="0">
                  <c:v>133</c:v>
                </c:pt>
              </c:numCache>
            </c:numRef>
          </c:val>
          <c:extLst>
            <c:ext xmlns:c16="http://schemas.microsoft.com/office/drawing/2014/chart" uri="{C3380CC4-5D6E-409C-BE32-E72D297353CC}">
              <c16:uniqueId val="{00000001-C2C7-4E53-9E46-2A4CBB118EE1}"/>
            </c:ext>
          </c:extLst>
        </c:ser>
        <c:ser>
          <c:idx val="2"/>
          <c:order val="2"/>
          <c:tx>
            <c:strRef>
              <c:f>Sheet1!$D$10</c:f>
              <c:strCache>
                <c:ptCount val="1"/>
                <c:pt idx="0">
                  <c:v>International shipments</c:v>
                </c:pt>
              </c:strCache>
            </c:strRef>
          </c:tx>
          <c:spPr>
            <a:solidFill>
              <a:schemeClr val="accent3"/>
            </a:solidFill>
            <a:ln>
              <a:noFill/>
            </a:ln>
            <a:effectLst/>
          </c:spPr>
          <c:invertIfNegative val="0"/>
          <c:cat>
            <c:numRef>
              <c:f>Sheet1!$A$11:$A$15</c:f>
              <c:numCache>
                <c:formatCode>General</c:formatCode>
                <c:ptCount val="5"/>
                <c:pt idx="0">
                  <c:v>2007</c:v>
                </c:pt>
                <c:pt idx="1">
                  <c:v>2010</c:v>
                </c:pt>
                <c:pt idx="2">
                  <c:v>2012</c:v>
                </c:pt>
                <c:pt idx="3">
                  <c:v>2014</c:v>
                </c:pt>
                <c:pt idx="4">
                  <c:v>2016</c:v>
                </c:pt>
              </c:numCache>
            </c:numRef>
          </c:cat>
          <c:val>
            <c:numRef>
              <c:f>Sheet1!$D$11:$D$15</c:f>
              <c:numCache>
                <c:formatCode>General</c:formatCode>
                <c:ptCount val="5"/>
                <c:pt idx="0">
                  <c:v>97</c:v>
                </c:pt>
                <c:pt idx="1">
                  <c:v>89</c:v>
                </c:pt>
                <c:pt idx="2">
                  <c:v>130</c:v>
                </c:pt>
                <c:pt idx="3">
                  <c:v>121</c:v>
                </c:pt>
                <c:pt idx="4" formatCode="0">
                  <c:v>102</c:v>
                </c:pt>
              </c:numCache>
            </c:numRef>
          </c:val>
          <c:extLst>
            <c:ext xmlns:c16="http://schemas.microsoft.com/office/drawing/2014/chart" uri="{C3380CC4-5D6E-409C-BE32-E72D297353CC}">
              <c16:uniqueId val="{00000002-C2C7-4E53-9E46-2A4CBB118EE1}"/>
            </c:ext>
          </c:extLst>
        </c:ser>
        <c:ser>
          <c:idx val="3"/>
          <c:order val="3"/>
          <c:tx>
            <c:strRef>
              <c:f>Sheet1!$E$10</c:f>
              <c:strCache>
                <c:ptCount val="1"/>
                <c:pt idx="0">
                  <c:v>Ease of Tracking</c:v>
                </c:pt>
              </c:strCache>
            </c:strRef>
          </c:tx>
          <c:spPr>
            <a:solidFill>
              <a:schemeClr val="accent4"/>
            </a:solidFill>
            <a:ln>
              <a:noFill/>
            </a:ln>
            <a:effectLst/>
          </c:spPr>
          <c:invertIfNegative val="0"/>
          <c:cat>
            <c:numRef>
              <c:f>Sheet1!$A$11:$A$15</c:f>
              <c:numCache>
                <c:formatCode>General</c:formatCode>
                <c:ptCount val="5"/>
                <c:pt idx="0">
                  <c:v>2007</c:v>
                </c:pt>
                <c:pt idx="1">
                  <c:v>2010</c:v>
                </c:pt>
                <c:pt idx="2">
                  <c:v>2012</c:v>
                </c:pt>
                <c:pt idx="3">
                  <c:v>2014</c:v>
                </c:pt>
                <c:pt idx="4">
                  <c:v>2016</c:v>
                </c:pt>
              </c:numCache>
            </c:numRef>
          </c:cat>
          <c:val>
            <c:numRef>
              <c:f>Sheet1!$E$11:$E$15</c:f>
              <c:numCache>
                <c:formatCode>General</c:formatCode>
                <c:ptCount val="5"/>
                <c:pt idx="0">
                  <c:v>141</c:v>
                </c:pt>
                <c:pt idx="1">
                  <c:v>67</c:v>
                </c:pt>
                <c:pt idx="2">
                  <c:v>112</c:v>
                </c:pt>
                <c:pt idx="3">
                  <c:v>96</c:v>
                </c:pt>
                <c:pt idx="4" formatCode="0">
                  <c:v>117</c:v>
                </c:pt>
              </c:numCache>
            </c:numRef>
          </c:val>
          <c:extLst>
            <c:ext xmlns:c16="http://schemas.microsoft.com/office/drawing/2014/chart" uri="{C3380CC4-5D6E-409C-BE32-E72D297353CC}">
              <c16:uniqueId val="{00000003-C2C7-4E53-9E46-2A4CBB118EE1}"/>
            </c:ext>
          </c:extLst>
        </c:ser>
        <c:ser>
          <c:idx val="4"/>
          <c:order val="4"/>
          <c:tx>
            <c:strRef>
              <c:f>Sheet1!$F$10</c:f>
              <c:strCache>
                <c:ptCount val="1"/>
                <c:pt idx="0">
                  <c:v>Logistics quality and competence</c:v>
                </c:pt>
              </c:strCache>
            </c:strRef>
          </c:tx>
          <c:spPr>
            <a:solidFill>
              <a:schemeClr val="accent5"/>
            </a:solidFill>
            <a:ln>
              <a:noFill/>
            </a:ln>
            <a:effectLst/>
          </c:spPr>
          <c:invertIfNegative val="0"/>
          <c:cat>
            <c:numRef>
              <c:f>Sheet1!$A$11:$A$15</c:f>
              <c:numCache>
                <c:formatCode>General</c:formatCode>
                <c:ptCount val="5"/>
                <c:pt idx="0">
                  <c:v>2007</c:v>
                </c:pt>
                <c:pt idx="1">
                  <c:v>2010</c:v>
                </c:pt>
                <c:pt idx="2">
                  <c:v>2012</c:v>
                </c:pt>
                <c:pt idx="3">
                  <c:v>2014</c:v>
                </c:pt>
                <c:pt idx="4">
                  <c:v>2016</c:v>
                </c:pt>
              </c:numCache>
            </c:numRef>
          </c:cat>
          <c:val>
            <c:numRef>
              <c:f>Sheet1!$F$11:$F$15</c:f>
              <c:numCache>
                <c:formatCode>General</c:formatCode>
                <c:ptCount val="5"/>
                <c:pt idx="0">
                  <c:v>129</c:v>
                </c:pt>
                <c:pt idx="1">
                  <c:v>136</c:v>
                </c:pt>
                <c:pt idx="2">
                  <c:v>144</c:v>
                </c:pt>
                <c:pt idx="3">
                  <c:v>97</c:v>
                </c:pt>
                <c:pt idx="4" formatCode="0">
                  <c:v>133</c:v>
                </c:pt>
              </c:numCache>
            </c:numRef>
          </c:val>
          <c:extLst>
            <c:ext xmlns:c16="http://schemas.microsoft.com/office/drawing/2014/chart" uri="{C3380CC4-5D6E-409C-BE32-E72D297353CC}">
              <c16:uniqueId val="{00000004-C2C7-4E53-9E46-2A4CBB118EE1}"/>
            </c:ext>
          </c:extLst>
        </c:ser>
        <c:ser>
          <c:idx val="5"/>
          <c:order val="5"/>
          <c:tx>
            <c:strRef>
              <c:f>Sheet1!$G$10</c:f>
              <c:strCache>
                <c:ptCount val="1"/>
                <c:pt idx="0">
                  <c:v>Timeliness</c:v>
                </c:pt>
              </c:strCache>
            </c:strRef>
          </c:tx>
          <c:spPr>
            <a:solidFill>
              <a:schemeClr val="accent6"/>
            </a:solidFill>
            <a:ln>
              <a:noFill/>
            </a:ln>
            <a:effectLst/>
          </c:spPr>
          <c:invertIfNegative val="0"/>
          <c:cat>
            <c:numRef>
              <c:f>Sheet1!$A$11:$A$15</c:f>
              <c:numCache>
                <c:formatCode>General</c:formatCode>
                <c:ptCount val="5"/>
                <c:pt idx="0">
                  <c:v>2007</c:v>
                </c:pt>
                <c:pt idx="1">
                  <c:v>2010</c:v>
                </c:pt>
                <c:pt idx="2">
                  <c:v>2012</c:v>
                </c:pt>
                <c:pt idx="3">
                  <c:v>2014</c:v>
                </c:pt>
                <c:pt idx="4">
                  <c:v>2016</c:v>
                </c:pt>
              </c:numCache>
            </c:numRef>
          </c:cat>
          <c:val>
            <c:numRef>
              <c:f>Sheet1!$G$11:$G$15</c:f>
              <c:numCache>
                <c:formatCode>General</c:formatCode>
                <c:ptCount val="5"/>
                <c:pt idx="0">
                  <c:v>37</c:v>
                </c:pt>
                <c:pt idx="1">
                  <c:v>144</c:v>
                </c:pt>
                <c:pt idx="2">
                  <c:v>143</c:v>
                </c:pt>
                <c:pt idx="3">
                  <c:v>78</c:v>
                </c:pt>
                <c:pt idx="4" formatCode="0">
                  <c:v>149</c:v>
                </c:pt>
              </c:numCache>
            </c:numRef>
          </c:val>
          <c:extLst>
            <c:ext xmlns:c16="http://schemas.microsoft.com/office/drawing/2014/chart" uri="{C3380CC4-5D6E-409C-BE32-E72D297353CC}">
              <c16:uniqueId val="{00000005-C2C7-4E53-9E46-2A4CBB118EE1}"/>
            </c:ext>
          </c:extLst>
        </c:ser>
        <c:ser>
          <c:idx val="6"/>
          <c:order val="6"/>
          <c:tx>
            <c:strRef>
              <c:f>Sheet1!$H$10</c:f>
              <c:strCache>
                <c:ptCount val="1"/>
                <c:pt idx="0">
                  <c:v>Overall rank</c:v>
                </c:pt>
              </c:strCache>
            </c:strRef>
          </c:tx>
          <c:spPr>
            <a:solidFill>
              <a:schemeClr val="accent1">
                <a:lumMod val="60000"/>
              </a:schemeClr>
            </a:solidFill>
            <a:ln>
              <a:noFill/>
            </a:ln>
            <a:effectLst/>
          </c:spPr>
          <c:invertIfNegative val="0"/>
          <c:cat>
            <c:numRef>
              <c:f>Sheet1!$A$11:$A$15</c:f>
              <c:numCache>
                <c:formatCode>General</c:formatCode>
                <c:ptCount val="5"/>
                <c:pt idx="0">
                  <c:v>2007</c:v>
                </c:pt>
                <c:pt idx="1">
                  <c:v>2010</c:v>
                </c:pt>
                <c:pt idx="2">
                  <c:v>2012</c:v>
                </c:pt>
                <c:pt idx="3">
                  <c:v>2014</c:v>
                </c:pt>
                <c:pt idx="4">
                  <c:v>2016</c:v>
                </c:pt>
              </c:numCache>
            </c:numRef>
          </c:cat>
          <c:val>
            <c:numRef>
              <c:f>Sheet1!$H$11:$H$15</c:f>
              <c:numCache>
                <c:formatCode>General</c:formatCode>
                <c:ptCount val="5"/>
                <c:pt idx="0">
                  <c:v>104</c:v>
                </c:pt>
                <c:pt idx="1">
                  <c:v>123</c:v>
                </c:pt>
                <c:pt idx="2">
                  <c:v>141</c:v>
                </c:pt>
                <c:pt idx="3">
                  <c:v>104</c:v>
                </c:pt>
                <c:pt idx="4" formatCode="0">
                  <c:v>126</c:v>
                </c:pt>
              </c:numCache>
            </c:numRef>
          </c:val>
          <c:extLst>
            <c:ext xmlns:c16="http://schemas.microsoft.com/office/drawing/2014/chart" uri="{C3380CC4-5D6E-409C-BE32-E72D297353CC}">
              <c16:uniqueId val="{00000006-C2C7-4E53-9E46-2A4CBB118EE1}"/>
            </c:ext>
          </c:extLst>
        </c:ser>
        <c:dLbls>
          <c:showLegendKey val="0"/>
          <c:showVal val="0"/>
          <c:showCatName val="0"/>
          <c:showSerName val="0"/>
          <c:showPercent val="0"/>
          <c:showBubbleSize val="0"/>
        </c:dLbls>
        <c:gapWidth val="219"/>
        <c:overlap val="-27"/>
        <c:axId val="-2110149416"/>
        <c:axId val="-2110146024"/>
      </c:barChart>
      <c:catAx>
        <c:axId val="-211014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146024"/>
        <c:crosses val="autoZero"/>
        <c:auto val="1"/>
        <c:lblAlgn val="ctr"/>
        <c:lblOffset val="100"/>
        <c:noMultiLvlLbl val="0"/>
      </c:catAx>
      <c:valAx>
        <c:axId val="-21101460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US"/>
                  <a:t>Rank</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14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SSC!$A$22</c:f>
              <c:strCache>
                <c:ptCount val="1"/>
                <c:pt idx="0">
                  <c:v>China</c:v>
                </c:pt>
              </c:strCache>
            </c:strRef>
          </c:tx>
          <c:spPr>
            <a:solidFill>
              <a:schemeClr val="accent1"/>
            </a:solidFill>
            <a:ln>
              <a:noFill/>
            </a:ln>
            <a:effectLst/>
            <a:sp3d/>
          </c:spPr>
          <c:invertIfNegative val="0"/>
          <c:cat>
            <c:strRef>
              <c:f>SSC!$B$21:$G$21</c:f>
              <c:strCache>
                <c:ptCount val="6"/>
                <c:pt idx="0">
                  <c:v>2011/12</c:v>
                </c:pt>
                <c:pt idx="1">
                  <c:v>2012/13</c:v>
                </c:pt>
                <c:pt idx="2">
                  <c:v>2013/14</c:v>
                </c:pt>
                <c:pt idx="3">
                  <c:v>2014/15</c:v>
                </c:pt>
                <c:pt idx="4">
                  <c:v>2015/16</c:v>
                </c:pt>
                <c:pt idx="5">
                  <c:v>2016/17</c:v>
                </c:pt>
              </c:strCache>
            </c:strRef>
          </c:cat>
          <c:val>
            <c:numRef>
              <c:f>SSC!$B$22:$G$22</c:f>
              <c:numCache>
                <c:formatCode>0.00</c:formatCode>
                <c:ptCount val="6"/>
                <c:pt idx="0">
                  <c:v>4.353072559714354</c:v>
                </c:pt>
                <c:pt idx="1">
                  <c:v>6.7740271920790853</c:v>
                </c:pt>
                <c:pt idx="2">
                  <c:v>9.6490329227404903</c:v>
                </c:pt>
                <c:pt idx="3">
                  <c:v>8.7836881391733357</c:v>
                </c:pt>
                <c:pt idx="4">
                  <c:v>6.4018688396778414</c:v>
                </c:pt>
                <c:pt idx="5">
                  <c:v>6.1941683646411807</c:v>
                </c:pt>
              </c:numCache>
            </c:numRef>
          </c:val>
          <c:extLst>
            <c:ext xmlns:c16="http://schemas.microsoft.com/office/drawing/2014/chart" uri="{C3380CC4-5D6E-409C-BE32-E72D297353CC}">
              <c16:uniqueId val="{00000000-C7E6-4B16-8E69-16494B244C02}"/>
            </c:ext>
          </c:extLst>
        </c:ser>
        <c:ser>
          <c:idx val="1"/>
          <c:order val="1"/>
          <c:tx>
            <c:strRef>
              <c:f>SSC!$A$23</c:f>
              <c:strCache>
                <c:ptCount val="1"/>
                <c:pt idx="0">
                  <c:v>India</c:v>
                </c:pt>
              </c:strCache>
            </c:strRef>
          </c:tx>
          <c:spPr>
            <a:solidFill>
              <a:schemeClr val="accent2"/>
            </a:solidFill>
            <a:ln>
              <a:noFill/>
            </a:ln>
            <a:effectLst/>
            <a:sp3d/>
          </c:spPr>
          <c:invertIfNegative val="0"/>
          <c:cat>
            <c:strRef>
              <c:f>SSC!$B$21:$G$21</c:f>
              <c:strCache>
                <c:ptCount val="6"/>
                <c:pt idx="0">
                  <c:v>2011/12</c:v>
                </c:pt>
                <c:pt idx="1">
                  <c:v>2012/13</c:v>
                </c:pt>
                <c:pt idx="2">
                  <c:v>2013/14</c:v>
                </c:pt>
                <c:pt idx="3">
                  <c:v>2014/15</c:v>
                </c:pt>
                <c:pt idx="4">
                  <c:v>2015/16</c:v>
                </c:pt>
                <c:pt idx="5">
                  <c:v>2016/17</c:v>
                </c:pt>
              </c:strCache>
            </c:strRef>
          </c:cat>
          <c:val>
            <c:numRef>
              <c:f>SSC!$B$23:$G$23</c:f>
              <c:numCache>
                <c:formatCode>0.00</c:formatCode>
                <c:ptCount val="6"/>
                <c:pt idx="0">
                  <c:v>3.4110884421597731</c:v>
                </c:pt>
                <c:pt idx="1">
                  <c:v>4.6555835884767447</c:v>
                </c:pt>
                <c:pt idx="2">
                  <c:v>2.4501648316132889</c:v>
                </c:pt>
                <c:pt idx="3">
                  <c:v>0.59476143514115598</c:v>
                </c:pt>
                <c:pt idx="4">
                  <c:v>1.340161873933019</c:v>
                </c:pt>
                <c:pt idx="5">
                  <c:v>0.75085281115984004</c:v>
                </c:pt>
              </c:numCache>
            </c:numRef>
          </c:val>
          <c:extLst>
            <c:ext xmlns:c16="http://schemas.microsoft.com/office/drawing/2014/chart" uri="{C3380CC4-5D6E-409C-BE32-E72D297353CC}">
              <c16:uniqueId val="{00000001-C7E6-4B16-8E69-16494B244C02}"/>
            </c:ext>
          </c:extLst>
        </c:ser>
        <c:ser>
          <c:idx val="2"/>
          <c:order val="2"/>
          <c:tx>
            <c:strRef>
              <c:f>SSC!$A$24</c:f>
              <c:strCache>
                <c:ptCount val="1"/>
                <c:pt idx="0">
                  <c:v>Kuwait</c:v>
                </c:pt>
              </c:strCache>
            </c:strRef>
          </c:tx>
          <c:spPr>
            <a:solidFill>
              <a:schemeClr val="accent3"/>
            </a:solidFill>
            <a:ln>
              <a:noFill/>
            </a:ln>
            <a:effectLst/>
            <a:sp3d/>
          </c:spPr>
          <c:invertIfNegative val="0"/>
          <c:cat>
            <c:strRef>
              <c:f>SSC!$B$21:$G$21</c:f>
              <c:strCache>
                <c:ptCount val="6"/>
                <c:pt idx="0">
                  <c:v>2011/12</c:v>
                </c:pt>
                <c:pt idx="1">
                  <c:v>2012/13</c:v>
                </c:pt>
                <c:pt idx="2">
                  <c:v>2013/14</c:v>
                </c:pt>
                <c:pt idx="3">
                  <c:v>2014/15</c:v>
                </c:pt>
                <c:pt idx="4">
                  <c:v>2015/16</c:v>
                </c:pt>
                <c:pt idx="5">
                  <c:v>2016/17</c:v>
                </c:pt>
              </c:strCache>
            </c:strRef>
          </c:cat>
          <c:val>
            <c:numRef>
              <c:f>SSC!$B$24:$G$24</c:f>
              <c:numCache>
                <c:formatCode>0.00</c:formatCode>
                <c:ptCount val="6"/>
                <c:pt idx="0">
                  <c:v>0.53175109506050999</c:v>
                </c:pt>
                <c:pt idx="1">
                  <c:v>0.200379513571218</c:v>
                </c:pt>
                <c:pt idx="2">
                  <c:v>3.2470727650853903E-2</c:v>
                </c:pt>
                <c:pt idx="3">
                  <c:v>4.8749837902118703E-2</c:v>
                </c:pt>
                <c:pt idx="4">
                  <c:v>0.43903379772238599</c:v>
                </c:pt>
                <c:pt idx="5">
                  <c:v>0.32116452740916202</c:v>
                </c:pt>
              </c:numCache>
            </c:numRef>
          </c:val>
          <c:extLst>
            <c:ext xmlns:c16="http://schemas.microsoft.com/office/drawing/2014/chart" uri="{C3380CC4-5D6E-409C-BE32-E72D297353CC}">
              <c16:uniqueId val="{00000002-C7E6-4B16-8E69-16494B244C02}"/>
            </c:ext>
          </c:extLst>
        </c:ser>
        <c:ser>
          <c:idx val="3"/>
          <c:order val="3"/>
          <c:tx>
            <c:strRef>
              <c:f>SSC!$A$25</c:f>
              <c:strCache>
                <c:ptCount val="1"/>
                <c:pt idx="0">
                  <c:v>Saudi Arabia</c:v>
                </c:pt>
              </c:strCache>
            </c:strRef>
          </c:tx>
          <c:spPr>
            <a:solidFill>
              <a:schemeClr val="accent4"/>
            </a:solidFill>
            <a:ln>
              <a:noFill/>
            </a:ln>
            <a:effectLst/>
            <a:sp3d/>
          </c:spPr>
          <c:invertIfNegative val="0"/>
          <c:cat>
            <c:strRef>
              <c:f>SSC!$B$21:$G$21</c:f>
              <c:strCache>
                <c:ptCount val="6"/>
                <c:pt idx="0">
                  <c:v>2011/12</c:v>
                </c:pt>
                <c:pt idx="1">
                  <c:v>2012/13</c:v>
                </c:pt>
                <c:pt idx="2">
                  <c:v>2013/14</c:v>
                </c:pt>
                <c:pt idx="3">
                  <c:v>2014/15</c:v>
                </c:pt>
                <c:pt idx="4">
                  <c:v>2015/16</c:v>
                </c:pt>
                <c:pt idx="5">
                  <c:v>2016/17</c:v>
                </c:pt>
              </c:strCache>
            </c:strRef>
          </c:cat>
          <c:val>
            <c:numRef>
              <c:f>SSC!$B$25:$G$25</c:f>
              <c:numCache>
                <c:formatCode>0.00</c:formatCode>
                <c:ptCount val="6"/>
                <c:pt idx="0">
                  <c:v>8.2338268635246695E-2</c:v>
                </c:pt>
                <c:pt idx="1">
                  <c:v>1.11553932422284E-2</c:v>
                </c:pt>
                <c:pt idx="2">
                  <c:v>5.2837213832868501E-3</c:v>
                </c:pt>
                <c:pt idx="3">
                  <c:v>0</c:v>
                </c:pt>
                <c:pt idx="4">
                  <c:v>2.8771393194251E-2</c:v>
                </c:pt>
                <c:pt idx="5">
                  <c:v>0.38156302863566499</c:v>
                </c:pt>
              </c:numCache>
            </c:numRef>
          </c:val>
          <c:extLst>
            <c:ext xmlns:c16="http://schemas.microsoft.com/office/drawing/2014/chart" uri="{C3380CC4-5D6E-409C-BE32-E72D297353CC}">
              <c16:uniqueId val="{00000003-C7E6-4B16-8E69-16494B244C02}"/>
            </c:ext>
          </c:extLst>
        </c:ser>
        <c:dLbls>
          <c:showLegendKey val="0"/>
          <c:showVal val="0"/>
          <c:showCatName val="0"/>
          <c:showSerName val="0"/>
          <c:showPercent val="0"/>
          <c:showBubbleSize val="0"/>
        </c:dLbls>
        <c:gapWidth val="150"/>
        <c:shape val="box"/>
        <c:axId val="-2110101096"/>
        <c:axId val="-2110097560"/>
        <c:axId val="0"/>
      </c:bar3DChart>
      <c:catAx>
        <c:axId val="-2110101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097560"/>
        <c:crosses val="autoZero"/>
        <c:auto val="1"/>
        <c:lblAlgn val="ctr"/>
        <c:lblOffset val="100"/>
        <c:noMultiLvlLbl val="0"/>
      </c:catAx>
      <c:valAx>
        <c:axId val="-211009756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101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SSC!$B$57</c:f>
              <c:strCache>
                <c:ptCount val="1"/>
                <c:pt idx="0">
                  <c:v>Grant</c:v>
                </c:pt>
              </c:strCache>
            </c:strRef>
          </c:tx>
          <c:spPr>
            <a:solidFill>
              <a:schemeClr val="accent1"/>
            </a:solidFill>
            <a:ln>
              <a:noFill/>
            </a:ln>
            <a:effectLst/>
            <a:sp3d/>
          </c:spPr>
          <c:invertIfNegative val="0"/>
          <c:cat>
            <c:strRef>
              <c:f>SSC!$A$58:$A$60</c:f>
              <c:strCache>
                <c:ptCount val="3"/>
                <c:pt idx="0">
                  <c:v>African Development Bank </c:v>
                </c:pt>
                <c:pt idx="1">
                  <c:v>Arab Bank for Economic Development of Africa (BADEA) </c:v>
                </c:pt>
                <c:pt idx="2">
                  <c:v>OPEC Fund For International Development</c:v>
                </c:pt>
              </c:strCache>
            </c:strRef>
          </c:cat>
          <c:val>
            <c:numRef>
              <c:f>SSC!$B$58:$B$60</c:f>
              <c:numCache>
                <c:formatCode>0.00</c:formatCode>
                <c:ptCount val="3"/>
                <c:pt idx="0">
                  <c:v>526.97247100000004</c:v>
                </c:pt>
                <c:pt idx="1">
                  <c:v>0.23</c:v>
                </c:pt>
                <c:pt idx="2">
                  <c:v>0</c:v>
                </c:pt>
              </c:numCache>
            </c:numRef>
          </c:val>
          <c:extLst>
            <c:ext xmlns:c16="http://schemas.microsoft.com/office/drawing/2014/chart" uri="{C3380CC4-5D6E-409C-BE32-E72D297353CC}">
              <c16:uniqueId val="{00000000-B624-4D24-A2F7-E226C3FF703F}"/>
            </c:ext>
          </c:extLst>
        </c:ser>
        <c:ser>
          <c:idx val="1"/>
          <c:order val="1"/>
          <c:tx>
            <c:strRef>
              <c:f>SSC!$C$57</c:f>
              <c:strCache>
                <c:ptCount val="1"/>
                <c:pt idx="0">
                  <c:v>Loan</c:v>
                </c:pt>
              </c:strCache>
            </c:strRef>
          </c:tx>
          <c:spPr>
            <a:solidFill>
              <a:schemeClr val="accent2"/>
            </a:solidFill>
            <a:ln>
              <a:noFill/>
            </a:ln>
            <a:effectLst/>
            <a:sp3d/>
          </c:spPr>
          <c:invertIfNegative val="0"/>
          <c:cat>
            <c:strRef>
              <c:f>SSC!$A$58:$A$60</c:f>
              <c:strCache>
                <c:ptCount val="3"/>
                <c:pt idx="0">
                  <c:v>African Development Bank </c:v>
                </c:pt>
                <c:pt idx="1">
                  <c:v>Arab Bank for Economic Development of Africa (BADEA) </c:v>
                </c:pt>
                <c:pt idx="2">
                  <c:v>OPEC Fund For International Development</c:v>
                </c:pt>
              </c:strCache>
            </c:strRef>
          </c:cat>
          <c:val>
            <c:numRef>
              <c:f>SSC!$C$58:$C$60</c:f>
              <c:numCache>
                <c:formatCode>0.00</c:formatCode>
                <c:ptCount val="3"/>
                <c:pt idx="0">
                  <c:v>1285.87823379316</c:v>
                </c:pt>
                <c:pt idx="1">
                  <c:v>70.185458999999938</c:v>
                </c:pt>
                <c:pt idx="2">
                  <c:v>66.576307999999955</c:v>
                </c:pt>
              </c:numCache>
            </c:numRef>
          </c:val>
          <c:extLst>
            <c:ext xmlns:c16="http://schemas.microsoft.com/office/drawing/2014/chart" uri="{C3380CC4-5D6E-409C-BE32-E72D297353CC}">
              <c16:uniqueId val="{00000001-B624-4D24-A2F7-E226C3FF703F}"/>
            </c:ext>
          </c:extLst>
        </c:ser>
        <c:dLbls>
          <c:showLegendKey val="0"/>
          <c:showVal val="0"/>
          <c:showCatName val="0"/>
          <c:showSerName val="0"/>
          <c:showPercent val="0"/>
          <c:showBubbleSize val="0"/>
        </c:dLbls>
        <c:gapWidth val="150"/>
        <c:shape val="box"/>
        <c:axId val="-2110063672"/>
        <c:axId val="-2110060136"/>
        <c:axId val="0"/>
      </c:bar3DChart>
      <c:catAx>
        <c:axId val="-2110063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060136"/>
        <c:crosses val="autoZero"/>
        <c:auto val="1"/>
        <c:lblAlgn val="ctr"/>
        <c:lblOffset val="100"/>
        <c:noMultiLvlLbl val="0"/>
      </c:catAx>
      <c:valAx>
        <c:axId val="-211006013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0636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Rev!$A$25</c:f>
              <c:strCache>
                <c:ptCount val="1"/>
                <c:pt idx="0">
                  <c:v>  Revenue</c:v>
                </c:pt>
              </c:strCache>
            </c:strRef>
          </c:tx>
          <c:marker>
            <c:symbol val="none"/>
          </c:marker>
          <c:cat>
            <c:strRef>
              <c:f>Rev!$B$23:$G$23</c:f>
              <c:strCache>
                <c:ptCount val="6"/>
                <c:pt idx="0">
                  <c:v>2010/11</c:v>
                </c:pt>
                <c:pt idx="1">
                  <c:v>2011/12</c:v>
                </c:pt>
                <c:pt idx="2">
                  <c:v>2012/13</c:v>
                </c:pt>
                <c:pt idx="3">
                  <c:v>2013/14</c:v>
                </c:pt>
                <c:pt idx="4">
                  <c:v>2014/15</c:v>
                </c:pt>
                <c:pt idx="5">
                  <c:v>2015/16</c:v>
                </c:pt>
              </c:strCache>
            </c:strRef>
          </c:cat>
          <c:val>
            <c:numRef>
              <c:f>Rev!$B$25:$G$25</c:f>
              <c:numCache>
                <c:formatCode>0.0</c:formatCode>
                <c:ptCount val="6"/>
                <c:pt idx="0">
                  <c:v>13.419274594770901</c:v>
                </c:pt>
                <c:pt idx="1">
                  <c:v>13.764227925106169</c:v>
                </c:pt>
                <c:pt idx="2">
                  <c:v>14.34963448580368</c:v>
                </c:pt>
                <c:pt idx="3">
                  <c:v>13.955866613582529</c:v>
                </c:pt>
                <c:pt idx="4">
                  <c:v>15.08790252166712</c:v>
                </c:pt>
                <c:pt idx="5">
                  <c:v>15.658246946254989</c:v>
                </c:pt>
              </c:numCache>
            </c:numRef>
          </c:val>
          <c:smooth val="0"/>
          <c:extLst>
            <c:ext xmlns:c16="http://schemas.microsoft.com/office/drawing/2014/chart" uri="{C3380CC4-5D6E-409C-BE32-E72D297353CC}">
              <c16:uniqueId val="{00000000-2036-4B83-B57A-9BEEF47E5F26}"/>
            </c:ext>
          </c:extLst>
        </c:ser>
        <c:ser>
          <c:idx val="2"/>
          <c:order val="1"/>
          <c:tx>
            <c:strRef>
              <c:f>Rev!$A$26</c:f>
              <c:strCache>
                <c:ptCount val="1"/>
                <c:pt idx="0">
                  <c:v>Tax revenue </c:v>
                </c:pt>
              </c:strCache>
            </c:strRef>
          </c:tx>
          <c:marker>
            <c:symbol val="none"/>
          </c:marker>
          <c:cat>
            <c:strRef>
              <c:f>Rev!$B$23:$G$23</c:f>
              <c:strCache>
                <c:ptCount val="6"/>
                <c:pt idx="0">
                  <c:v>2010/11</c:v>
                </c:pt>
                <c:pt idx="1">
                  <c:v>2011/12</c:v>
                </c:pt>
                <c:pt idx="2">
                  <c:v>2012/13</c:v>
                </c:pt>
                <c:pt idx="3">
                  <c:v>2013/14</c:v>
                </c:pt>
                <c:pt idx="4">
                  <c:v>2014/15</c:v>
                </c:pt>
                <c:pt idx="5">
                  <c:v>2015/16</c:v>
                </c:pt>
              </c:strCache>
            </c:strRef>
          </c:cat>
          <c:val>
            <c:numRef>
              <c:f>Rev!$B$26:$G$26</c:f>
              <c:numCache>
                <c:formatCode>0.0</c:formatCode>
                <c:ptCount val="6"/>
                <c:pt idx="0">
                  <c:v>11.450822249790811</c:v>
                </c:pt>
                <c:pt idx="1">
                  <c:v>11.472886015529999</c:v>
                </c:pt>
                <c:pt idx="2">
                  <c:v>12.37581113162201</c:v>
                </c:pt>
                <c:pt idx="3">
                  <c:v>12.70948536031843</c:v>
                </c:pt>
                <c:pt idx="4">
                  <c:v>13.364616288445079</c:v>
                </c:pt>
                <c:pt idx="5">
                  <c:v>12.87031226287171</c:v>
                </c:pt>
              </c:numCache>
            </c:numRef>
          </c:val>
          <c:smooth val="0"/>
          <c:extLst>
            <c:ext xmlns:c16="http://schemas.microsoft.com/office/drawing/2014/chart" uri="{C3380CC4-5D6E-409C-BE32-E72D297353CC}">
              <c16:uniqueId val="{00000001-2036-4B83-B57A-9BEEF47E5F26}"/>
            </c:ext>
          </c:extLst>
        </c:ser>
        <c:ser>
          <c:idx val="3"/>
          <c:order val="2"/>
          <c:tx>
            <c:strRef>
              <c:f>Rev!$A$27</c:f>
              <c:strCache>
                <c:ptCount val="1"/>
                <c:pt idx="0">
                  <c:v>Non-tax revenue</c:v>
                </c:pt>
              </c:strCache>
            </c:strRef>
          </c:tx>
          <c:marker>
            <c:symbol val="none"/>
          </c:marker>
          <c:cat>
            <c:strRef>
              <c:f>Rev!$B$23:$G$23</c:f>
              <c:strCache>
                <c:ptCount val="6"/>
                <c:pt idx="0">
                  <c:v>2010/11</c:v>
                </c:pt>
                <c:pt idx="1">
                  <c:v>2011/12</c:v>
                </c:pt>
                <c:pt idx="2">
                  <c:v>2012/13</c:v>
                </c:pt>
                <c:pt idx="3">
                  <c:v>2013/14</c:v>
                </c:pt>
                <c:pt idx="4">
                  <c:v>2014/15</c:v>
                </c:pt>
                <c:pt idx="5">
                  <c:v>2015/16</c:v>
                </c:pt>
              </c:strCache>
            </c:strRef>
          </c:cat>
          <c:val>
            <c:numRef>
              <c:f>Rev!$B$27:$G$27</c:f>
              <c:numCache>
                <c:formatCode>0.0</c:formatCode>
                <c:ptCount val="6"/>
                <c:pt idx="0">
                  <c:v>1.968452344980097</c:v>
                </c:pt>
                <c:pt idx="1">
                  <c:v>2.2913419095762761</c:v>
                </c:pt>
                <c:pt idx="2">
                  <c:v>1.9738233541816721</c:v>
                </c:pt>
                <c:pt idx="3">
                  <c:v>1.246381253264053</c:v>
                </c:pt>
                <c:pt idx="4">
                  <c:v>1.7232862332220831</c:v>
                </c:pt>
                <c:pt idx="5">
                  <c:v>2.7879346833832752</c:v>
                </c:pt>
              </c:numCache>
            </c:numRef>
          </c:val>
          <c:smooth val="0"/>
          <c:extLst>
            <c:ext xmlns:c16="http://schemas.microsoft.com/office/drawing/2014/chart" uri="{C3380CC4-5D6E-409C-BE32-E72D297353CC}">
              <c16:uniqueId val="{00000002-2036-4B83-B57A-9BEEF47E5F26}"/>
            </c:ext>
          </c:extLst>
        </c:ser>
        <c:dLbls>
          <c:showLegendKey val="0"/>
          <c:showVal val="0"/>
          <c:showCatName val="0"/>
          <c:showSerName val="0"/>
          <c:showPercent val="0"/>
          <c:showBubbleSize val="0"/>
        </c:dLbls>
        <c:smooth val="0"/>
        <c:axId val="2078070856"/>
        <c:axId val="-2111830520"/>
      </c:lineChart>
      <c:catAx>
        <c:axId val="2078070856"/>
        <c:scaling>
          <c:orientation val="minMax"/>
        </c:scaling>
        <c:delete val="0"/>
        <c:axPos val="b"/>
        <c:numFmt formatCode="General" sourceLinked="1"/>
        <c:majorTickMark val="out"/>
        <c:minorTickMark val="none"/>
        <c:tickLblPos val="nextTo"/>
        <c:crossAx val="-2111830520"/>
        <c:crosses val="autoZero"/>
        <c:auto val="1"/>
        <c:lblAlgn val="ctr"/>
        <c:lblOffset val="100"/>
        <c:noMultiLvlLbl val="0"/>
      </c:catAx>
      <c:valAx>
        <c:axId val="-2111830520"/>
        <c:scaling>
          <c:orientation val="minMax"/>
        </c:scaling>
        <c:delete val="0"/>
        <c:axPos val="l"/>
        <c:numFmt formatCode="0.0" sourceLinked="1"/>
        <c:majorTickMark val="out"/>
        <c:minorTickMark val="none"/>
        <c:tickLblPos val="nextTo"/>
        <c:crossAx val="2078070856"/>
        <c:crosses val="autoZero"/>
        <c:crossBetween val="between"/>
      </c:valAx>
    </c:plotArea>
    <c:legend>
      <c:legendPos val="r"/>
      <c:overlay val="0"/>
    </c:legend>
    <c:plotVisOnly val="1"/>
    <c:dispBlanksAs val="gap"/>
    <c:showDLblsOverMax val="0"/>
  </c:chart>
  <c:txPr>
    <a:bodyPr/>
    <a:lstStyle/>
    <a:p>
      <a:pPr>
        <a:defRPr>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Rev!$B$56</c:f>
              <c:strCache>
                <c:ptCount val="1"/>
                <c:pt idx="0">
                  <c:v>Percent of total annual sales declared for tax purposes</c:v>
                </c:pt>
              </c:strCache>
            </c:strRef>
          </c:tx>
          <c:spPr>
            <a:solidFill>
              <a:schemeClr val="accent1"/>
            </a:solidFill>
            <a:ln>
              <a:noFill/>
            </a:ln>
            <a:effectLst/>
            <a:sp3d/>
          </c:spPr>
          <c:invertIfNegative val="0"/>
          <c:cat>
            <c:strRef>
              <c:f>Rev!$A$57:$A$61</c:f>
              <c:strCache>
                <c:ptCount val="5"/>
                <c:pt idx="0">
                  <c:v>Less than ETB 100,001</c:v>
                </c:pt>
                <c:pt idx="1">
                  <c:v>ETB 100,001 -ETB 500,000</c:v>
                </c:pt>
                <c:pt idx="2">
                  <c:v>ETB 500,001 - ETB 10,000,000</c:v>
                </c:pt>
                <c:pt idx="3">
                  <c:v>Above ETB 10,000,000</c:v>
                </c:pt>
                <c:pt idx="4">
                  <c:v>Total</c:v>
                </c:pt>
              </c:strCache>
            </c:strRef>
          </c:cat>
          <c:val>
            <c:numRef>
              <c:f>Rev!$B$57:$B$61</c:f>
              <c:numCache>
                <c:formatCode>General</c:formatCode>
                <c:ptCount val="5"/>
                <c:pt idx="0">
                  <c:v>51.6</c:v>
                </c:pt>
                <c:pt idx="1">
                  <c:v>61.5</c:v>
                </c:pt>
                <c:pt idx="2">
                  <c:v>54.8</c:v>
                </c:pt>
                <c:pt idx="3">
                  <c:v>64.400000000000006</c:v>
                </c:pt>
                <c:pt idx="4">
                  <c:v>53.4</c:v>
                </c:pt>
              </c:numCache>
            </c:numRef>
          </c:val>
          <c:extLst>
            <c:ext xmlns:c16="http://schemas.microsoft.com/office/drawing/2014/chart" uri="{C3380CC4-5D6E-409C-BE32-E72D297353CC}">
              <c16:uniqueId val="{00000000-A629-4218-9A1C-AB12C48A5A9A}"/>
            </c:ext>
          </c:extLst>
        </c:ser>
        <c:dLbls>
          <c:showLegendKey val="0"/>
          <c:showVal val="0"/>
          <c:showCatName val="0"/>
          <c:showSerName val="0"/>
          <c:showPercent val="0"/>
          <c:showBubbleSize val="0"/>
        </c:dLbls>
        <c:gapWidth val="150"/>
        <c:shape val="box"/>
        <c:axId val="-2111798680"/>
        <c:axId val="-2111795080"/>
        <c:axId val="0"/>
      </c:bar3DChart>
      <c:catAx>
        <c:axId val="-2111798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1795080"/>
        <c:crosses val="autoZero"/>
        <c:auto val="1"/>
        <c:lblAlgn val="ctr"/>
        <c:lblOffset val="100"/>
        <c:noMultiLvlLbl val="0"/>
      </c:catAx>
      <c:valAx>
        <c:axId val="-21117950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798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Rev!$B$64</c:f>
              <c:strCache>
                <c:ptCount val="1"/>
                <c:pt idx="0">
                  <c:v>Percent of annual expenditures overstated</c:v>
                </c:pt>
              </c:strCache>
            </c:strRef>
          </c:tx>
          <c:spPr>
            <a:solidFill>
              <a:srgbClr val="7030A0"/>
            </a:solidFill>
            <a:ln>
              <a:noFill/>
            </a:ln>
            <a:effectLst/>
            <a:sp3d/>
          </c:spPr>
          <c:invertIfNegative val="0"/>
          <c:cat>
            <c:strRef>
              <c:f>Rev!$A$65:$A$69</c:f>
              <c:strCache>
                <c:ptCount val="5"/>
                <c:pt idx="0">
                  <c:v>Less than ETB 100,001</c:v>
                </c:pt>
                <c:pt idx="1">
                  <c:v>ETB 100,001 -ETB 500,000</c:v>
                </c:pt>
                <c:pt idx="2">
                  <c:v>ETB 500,001 - ETB 10,000,000</c:v>
                </c:pt>
                <c:pt idx="3">
                  <c:v>Above ETB 10,000,000</c:v>
                </c:pt>
                <c:pt idx="4">
                  <c:v>Total</c:v>
                </c:pt>
              </c:strCache>
            </c:strRef>
          </c:cat>
          <c:val>
            <c:numRef>
              <c:f>Rev!$B$65:$B$69</c:f>
              <c:numCache>
                <c:formatCode>General</c:formatCode>
                <c:ptCount val="5"/>
                <c:pt idx="0">
                  <c:v>38.700000000000003</c:v>
                </c:pt>
                <c:pt idx="1">
                  <c:v>36.299999999999997</c:v>
                </c:pt>
                <c:pt idx="2">
                  <c:v>37.299999999999997</c:v>
                </c:pt>
                <c:pt idx="3">
                  <c:v>53.1</c:v>
                </c:pt>
                <c:pt idx="4">
                  <c:v>38.4</c:v>
                </c:pt>
              </c:numCache>
            </c:numRef>
          </c:val>
          <c:extLst>
            <c:ext xmlns:c16="http://schemas.microsoft.com/office/drawing/2014/chart" uri="{C3380CC4-5D6E-409C-BE32-E72D297353CC}">
              <c16:uniqueId val="{00000000-E5FE-43B4-97B9-2988A1F1357B}"/>
            </c:ext>
          </c:extLst>
        </c:ser>
        <c:dLbls>
          <c:showLegendKey val="0"/>
          <c:showVal val="0"/>
          <c:showCatName val="0"/>
          <c:showSerName val="0"/>
          <c:showPercent val="0"/>
          <c:showBubbleSize val="0"/>
        </c:dLbls>
        <c:gapWidth val="150"/>
        <c:shape val="box"/>
        <c:axId val="-2111764488"/>
        <c:axId val="-2111760888"/>
        <c:axId val="0"/>
      </c:bar3DChart>
      <c:catAx>
        <c:axId val="-2111764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1760888"/>
        <c:crosses val="autoZero"/>
        <c:auto val="1"/>
        <c:lblAlgn val="ctr"/>
        <c:lblOffset val="100"/>
        <c:noMultiLvlLbl val="0"/>
      </c:catAx>
      <c:valAx>
        <c:axId val="-21117608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1764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'FOREGONE FINAL'!$B$17</c:f>
              <c:strCache>
                <c:ptCount val="1"/>
                <c:pt idx="0">
                  <c:v>Foregone revenue (Billion ETB)</c:v>
                </c:pt>
              </c:strCache>
            </c:strRef>
          </c:tx>
          <c:spPr>
            <a:ln w="28575" cap="rnd">
              <a:solidFill>
                <a:schemeClr val="accent1"/>
              </a:solidFill>
              <a:round/>
            </a:ln>
            <a:effectLst/>
          </c:spPr>
          <c:marker>
            <c:symbol val="none"/>
          </c:marker>
          <c:cat>
            <c:strRef>
              <c:f>'FOREGONE FINAL'!$A$18:$A$28</c:f>
              <c:strCache>
                <c:ptCount val="11"/>
                <c:pt idx="0">
                  <c:v>2005/6</c:v>
                </c:pt>
                <c:pt idx="1">
                  <c:v>2006/7</c:v>
                </c:pt>
                <c:pt idx="2">
                  <c:v>2007/8</c:v>
                </c:pt>
                <c:pt idx="3">
                  <c:v>2008/9</c:v>
                </c:pt>
                <c:pt idx="4">
                  <c:v>2009/10</c:v>
                </c:pt>
                <c:pt idx="5">
                  <c:v>2010/11</c:v>
                </c:pt>
                <c:pt idx="6">
                  <c:v>2011/12</c:v>
                </c:pt>
                <c:pt idx="7">
                  <c:v>2012/13</c:v>
                </c:pt>
                <c:pt idx="8">
                  <c:v>2013/14</c:v>
                </c:pt>
                <c:pt idx="9">
                  <c:v>2014/15</c:v>
                </c:pt>
                <c:pt idx="10">
                  <c:v>2015/16</c:v>
                </c:pt>
              </c:strCache>
            </c:strRef>
          </c:cat>
          <c:val>
            <c:numRef>
              <c:f>'FOREGONE FINAL'!$B$18:$B$28</c:f>
              <c:numCache>
                <c:formatCode>_-* #,##0.0_-;\-* #,##0.0_-;_-* "-"??_-;_-@_-</c:formatCode>
                <c:ptCount val="11"/>
                <c:pt idx="0">
                  <c:v>3.6429914144299991</c:v>
                </c:pt>
                <c:pt idx="1">
                  <c:v>5.6049557511499861</c:v>
                </c:pt>
                <c:pt idx="2">
                  <c:v>9.4683893105599868</c:v>
                </c:pt>
                <c:pt idx="3">
                  <c:v>14.42271305537003</c:v>
                </c:pt>
                <c:pt idx="4">
                  <c:v>17.77579581112996</c:v>
                </c:pt>
                <c:pt idx="5">
                  <c:v>21.96227230738992</c:v>
                </c:pt>
                <c:pt idx="6">
                  <c:v>26.860962173360019</c:v>
                </c:pt>
                <c:pt idx="7">
                  <c:v>31.812363488020061</c:v>
                </c:pt>
                <c:pt idx="8">
                  <c:v>40.211407976520057</c:v>
                </c:pt>
                <c:pt idx="9">
                  <c:v>61.148312040279897</c:v>
                </c:pt>
                <c:pt idx="10">
                  <c:v>67.206026777479963</c:v>
                </c:pt>
              </c:numCache>
            </c:numRef>
          </c:val>
          <c:smooth val="0"/>
          <c:extLst>
            <c:ext xmlns:c16="http://schemas.microsoft.com/office/drawing/2014/chart" uri="{C3380CC4-5D6E-409C-BE32-E72D297353CC}">
              <c16:uniqueId val="{00000000-DFE8-44A0-B99E-E5196C4C9F82}"/>
            </c:ext>
          </c:extLst>
        </c:ser>
        <c:dLbls>
          <c:showLegendKey val="0"/>
          <c:showVal val="0"/>
          <c:showCatName val="0"/>
          <c:showSerName val="0"/>
          <c:showPercent val="0"/>
          <c:showBubbleSize val="0"/>
        </c:dLbls>
        <c:smooth val="0"/>
        <c:axId val="-2111732008"/>
        <c:axId val="-2111728520"/>
      </c:lineChart>
      <c:catAx>
        <c:axId val="-2111732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1728520"/>
        <c:crosses val="autoZero"/>
        <c:auto val="1"/>
        <c:lblAlgn val="ctr"/>
        <c:lblOffset val="100"/>
        <c:noMultiLvlLbl val="0"/>
      </c:catAx>
      <c:valAx>
        <c:axId val="-2111728520"/>
        <c:scaling>
          <c:orientation val="minMax"/>
        </c:scaling>
        <c:delete val="0"/>
        <c:axPos val="l"/>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1732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Sheet1!$B$3</c:f>
              <c:strCache>
                <c:ptCount val="1"/>
                <c:pt idx="0">
                  <c:v>Total</c:v>
                </c:pt>
              </c:strCache>
            </c:strRef>
          </c:tx>
          <c:spPr>
            <a:ln w="28575" cap="rnd">
              <a:solidFill>
                <a:schemeClr val="accent1"/>
              </a:solidFill>
              <a:round/>
            </a:ln>
            <a:effectLst/>
          </c:spPr>
          <c:marker>
            <c:symbol val="none"/>
          </c:marker>
          <c:cat>
            <c:strRef>
              <c:f>Sheet1!$A$4:$A$13</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Sheet1!$B$4:$B$13</c:f>
              <c:numCache>
                <c:formatCode>#,##0</c:formatCode>
                <c:ptCount val="10"/>
                <c:pt idx="0">
                  <c:v>375.71968673707931</c:v>
                </c:pt>
                <c:pt idx="1">
                  <c:v>784.81016874313298</c:v>
                </c:pt>
                <c:pt idx="2">
                  <c:v>1151.732543945312</c:v>
                </c:pt>
                <c:pt idx="3">
                  <c:v>1490.5712280227999</c:v>
                </c:pt>
                <c:pt idx="4">
                  <c:v>1822.696655273437</c:v>
                </c:pt>
                <c:pt idx="5">
                  <c:v>2999.272748936708</c:v>
                </c:pt>
                <c:pt idx="6">
                  <c:v>5617.5173059935414</c:v>
                </c:pt>
                <c:pt idx="7">
                  <c:v>4248.8807585091299</c:v>
                </c:pt>
                <c:pt idx="8">
                  <c:v>3973.171875</c:v>
                </c:pt>
                <c:pt idx="9">
                  <c:v>3370.5056152343768</c:v>
                </c:pt>
              </c:numCache>
            </c:numRef>
          </c:val>
          <c:smooth val="0"/>
          <c:extLst>
            <c:ext xmlns:c16="http://schemas.microsoft.com/office/drawing/2014/chart" uri="{C3380CC4-5D6E-409C-BE32-E72D297353CC}">
              <c16:uniqueId val="{00000000-9C90-4854-8224-FE2201519AF3}"/>
            </c:ext>
          </c:extLst>
        </c:ser>
        <c:ser>
          <c:idx val="1"/>
          <c:order val="1"/>
          <c:tx>
            <c:strRef>
              <c:f>Sheet1!$C$3</c:f>
              <c:strCache>
                <c:ptCount val="1"/>
                <c:pt idx="0">
                  <c:v>Trade misinvoicing outflows</c:v>
                </c:pt>
              </c:strCache>
            </c:strRef>
          </c:tx>
          <c:spPr>
            <a:ln w="28575" cap="rnd">
              <a:solidFill>
                <a:schemeClr val="accent2"/>
              </a:solidFill>
              <a:round/>
            </a:ln>
            <a:effectLst/>
          </c:spPr>
          <c:marker>
            <c:symbol val="none"/>
          </c:marker>
          <c:cat>
            <c:strRef>
              <c:f>Sheet1!$A$4:$A$13</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Sheet1!$C$4:$C$13</c:f>
              <c:numCache>
                <c:formatCode>#,##0</c:formatCode>
                <c:ptCount val="10"/>
                <c:pt idx="0">
                  <c:v>51.562992095947273</c:v>
                </c:pt>
                <c:pt idx="1">
                  <c:v>784.81016874313298</c:v>
                </c:pt>
                <c:pt idx="2">
                  <c:v>1151.732543945312</c:v>
                </c:pt>
                <c:pt idx="3">
                  <c:v>1332.86279296875</c:v>
                </c:pt>
                <c:pt idx="4">
                  <c:v>1822.696655273437</c:v>
                </c:pt>
                <c:pt idx="5">
                  <c:v>2497.824951171875</c:v>
                </c:pt>
                <c:pt idx="6">
                  <c:v>2542.2229003906232</c:v>
                </c:pt>
                <c:pt idx="7">
                  <c:v>2445.7426757812482</c:v>
                </c:pt>
                <c:pt idx="8">
                  <c:v>3712.171875</c:v>
                </c:pt>
                <c:pt idx="9">
                  <c:v>3370.5056152343768</c:v>
                </c:pt>
              </c:numCache>
            </c:numRef>
          </c:val>
          <c:smooth val="0"/>
          <c:extLst>
            <c:ext xmlns:c16="http://schemas.microsoft.com/office/drawing/2014/chart" uri="{C3380CC4-5D6E-409C-BE32-E72D297353CC}">
              <c16:uniqueId val="{00000001-9C90-4854-8224-FE2201519AF3}"/>
            </c:ext>
          </c:extLst>
        </c:ser>
        <c:ser>
          <c:idx val="2"/>
          <c:order val="2"/>
          <c:tx>
            <c:strRef>
              <c:f>Sheet1!$D$3</c:f>
              <c:strCache>
                <c:ptCount val="1"/>
                <c:pt idx="0">
                  <c:v>Illicit hot money narrow  outflows</c:v>
                </c:pt>
              </c:strCache>
            </c:strRef>
          </c:tx>
          <c:spPr>
            <a:ln w="28575" cap="rnd">
              <a:solidFill>
                <a:schemeClr val="accent3"/>
              </a:solidFill>
              <a:round/>
            </a:ln>
            <a:effectLst/>
          </c:spPr>
          <c:marker>
            <c:symbol val="none"/>
          </c:marker>
          <c:cat>
            <c:strRef>
              <c:f>Sheet1!$A$4:$A$13</c:f>
              <c:strCache>
                <c:ptCount val="10"/>
                <c:pt idx="0">
                  <c:v>2004</c:v>
                </c:pt>
                <c:pt idx="1">
                  <c:v>2005</c:v>
                </c:pt>
                <c:pt idx="2">
                  <c:v>2006</c:v>
                </c:pt>
                <c:pt idx="3">
                  <c:v>2007</c:v>
                </c:pt>
                <c:pt idx="4">
                  <c:v>2008</c:v>
                </c:pt>
                <c:pt idx="5">
                  <c:v>2009</c:v>
                </c:pt>
                <c:pt idx="6">
                  <c:v>2010</c:v>
                </c:pt>
                <c:pt idx="7">
                  <c:v>2011</c:v>
                </c:pt>
                <c:pt idx="8">
                  <c:v>2012</c:v>
                </c:pt>
                <c:pt idx="9">
                  <c:v>2013</c:v>
                </c:pt>
              </c:strCache>
            </c:strRef>
          </c:cat>
          <c:val>
            <c:numRef>
              <c:f>Sheet1!$D$4:$D$13</c:f>
              <c:numCache>
                <c:formatCode>#,##0</c:formatCode>
                <c:ptCount val="10"/>
                <c:pt idx="0">
                  <c:v>324.15669464113199</c:v>
                </c:pt>
                <c:pt idx="1">
                  <c:v>0</c:v>
                </c:pt>
                <c:pt idx="2">
                  <c:v>0</c:v>
                </c:pt>
                <c:pt idx="3">
                  <c:v>157.70843505405099</c:v>
                </c:pt>
                <c:pt idx="4">
                  <c:v>0</c:v>
                </c:pt>
                <c:pt idx="5">
                  <c:v>501.44779776483301</c:v>
                </c:pt>
                <c:pt idx="6">
                  <c:v>3075.2944056029191</c:v>
                </c:pt>
                <c:pt idx="7">
                  <c:v>1803.1380827278799</c:v>
                </c:pt>
                <c:pt idx="8">
                  <c:v>261</c:v>
                </c:pt>
                <c:pt idx="9">
                  <c:v>0</c:v>
                </c:pt>
              </c:numCache>
            </c:numRef>
          </c:val>
          <c:smooth val="0"/>
          <c:extLst>
            <c:ext xmlns:c16="http://schemas.microsoft.com/office/drawing/2014/chart" uri="{C3380CC4-5D6E-409C-BE32-E72D297353CC}">
              <c16:uniqueId val="{00000002-9C90-4854-8224-FE2201519AF3}"/>
            </c:ext>
          </c:extLst>
        </c:ser>
        <c:dLbls>
          <c:showLegendKey val="0"/>
          <c:showVal val="0"/>
          <c:showCatName val="0"/>
          <c:showSerName val="0"/>
          <c:showPercent val="0"/>
          <c:showBubbleSize val="0"/>
        </c:dLbls>
        <c:smooth val="0"/>
        <c:axId val="-2111682280"/>
        <c:axId val="-2111678728"/>
      </c:lineChart>
      <c:catAx>
        <c:axId val="-2111682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1678728"/>
        <c:crosses val="autoZero"/>
        <c:auto val="1"/>
        <c:lblAlgn val="ctr"/>
        <c:lblOffset val="100"/>
        <c:noMultiLvlLbl val="0"/>
      </c:catAx>
      <c:valAx>
        <c:axId val="-211167872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682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'Loanable fund'!$A$15</c:f>
              <c:strCache>
                <c:ptCount val="1"/>
                <c:pt idx="0">
                  <c:v>Loan collection </c:v>
                </c:pt>
              </c:strCache>
            </c:strRef>
          </c:tx>
          <c:spPr>
            <a:solidFill>
              <a:schemeClr val="accent1"/>
            </a:solidFill>
            <a:ln>
              <a:noFill/>
            </a:ln>
            <a:effectLst/>
            <a:sp3d/>
          </c:spPr>
          <c:invertIfNegative val="0"/>
          <c:cat>
            <c:strRef>
              <c:f>'Loanable fund'!$B$14:$G$14</c:f>
              <c:strCache>
                <c:ptCount val="6"/>
                <c:pt idx="0">
                  <c:v> 2010/11</c:v>
                </c:pt>
                <c:pt idx="1">
                  <c:v>2011/12</c:v>
                </c:pt>
                <c:pt idx="2">
                  <c:v>2012/13</c:v>
                </c:pt>
                <c:pt idx="3">
                  <c:v>2013/14</c:v>
                </c:pt>
                <c:pt idx="4">
                  <c:v>2014/15</c:v>
                </c:pt>
                <c:pt idx="5">
                  <c:v>2015/16</c:v>
                </c:pt>
              </c:strCache>
            </c:strRef>
          </c:cat>
          <c:val>
            <c:numRef>
              <c:f>'Loanable fund'!$B$15:$G$15</c:f>
              <c:numCache>
                <c:formatCode>0.0</c:formatCode>
                <c:ptCount val="6"/>
                <c:pt idx="0">
                  <c:v>30.548199650868931</c:v>
                </c:pt>
                <c:pt idx="1">
                  <c:v>35.18741291421</c:v>
                </c:pt>
                <c:pt idx="2">
                  <c:v>41.820200458290003</c:v>
                </c:pt>
                <c:pt idx="3">
                  <c:v>51.744709933200014</c:v>
                </c:pt>
                <c:pt idx="4">
                  <c:v>60.014210509089999</c:v>
                </c:pt>
                <c:pt idx="5">
                  <c:v>77.186694521598</c:v>
                </c:pt>
              </c:numCache>
            </c:numRef>
          </c:val>
          <c:extLst>
            <c:ext xmlns:c16="http://schemas.microsoft.com/office/drawing/2014/chart" uri="{C3380CC4-5D6E-409C-BE32-E72D297353CC}">
              <c16:uniqueId val="{00000000-DCB5-4C47-849A-65A957C884C4}"/>
            </c:ext>
          </c:extLst>
        </c:ser>
        <c:ser>
          <c:idx val="1"/>
          <c:order val="1"/>
          <c:tx>
            <c:strRef>
              <c:f>'Loanable fund'!$A$16</c:f>
              <c:strCache>
                <c:ptCount val="1"/>
                <c:pt idx="0">
                  <c:v>Saving</c:v>
                </c:pt>
              </c:strCache>
            </c:strRef>
          </c:tx>
          <c:spPr>
            <a:solidFill>
              <a:schemeClr val="accent2"/>
            </a:solidFill>
            <a:ln>
              <a:noFill/>
            </a:ln>
            <a:effectLst/>
            <a:sp3d/>
          </c:spPr>
          <c:invertIfNegative val="0"/>
          <c:cat>
            <c:strRef>
              <c:f>'Loanable fund'!$B$14:$G$14</c:f>
              <c:strCache>
                <c:ptCount val="6"/>
                <c:pt idx="0">
                  <c:v> 2010/11</c:v>
                </c:pt>
                <c:pt idx="1">
                  <c:v>2011/12</c:v>
                </c:pt>
                <c:pt idx="2">
                  <c:v>2012/13</c:v>
                </c:pt>
                <c:pt idx="3">
                  <c:v>2013/14</c:v>
                </c:pt>
                <c:pt idx="4">
                  <c:v>2014/15</c:v>
                </c:pt>
                <c:pt idx="5">
                  <c:v>2015/16</c:v>
                </c:pt>
              </c:strCache>
            </c:strRef>
          </c:cat>
          <c:val>
            <c:numRef>
              <c:f>'Loanable fund'!$B$16:$G$16</c:f>
              <c:numCache>
                <c:formatCode>0.0</c:formatCode>
                <c:ptCount val="6"/>
                <c:pt idx="0">
                  <c:v>19.347207716193001</c:v>
                </c:pt>
                <c:pt idx="1">
                  <c:v>36.064705073544033</c:v>
                </c:pt>
                <c:pt idx="2">
                  <c:v>39.286003741417012</c:v>
                </c:pt>
                <c:pt idx="3">
                  <c:v>44.524175733790521</c:v>
                </c:pt>
                <c:pt idx="4">
                  <c:v>60.712159614855523</c:v>
                </c:pt>
                <c:pt idx="5">
                  <c:v>63.589477475839367</c:v>
                </c:pt>
              </c:numCache>
            </c:numRef>
          </c:val>
          <c:extLst>
            <c:ext xmlns:c16="http://schemas.microsoft.com/office/drawing/2014/chart" uri="{C3380CC4-5D6E-409C-BE32-E72D297353CC}">
              <c16:uniqueId val="{00000001-DCB5-4C47-849A-65A957C884C4}"/>
            </c:ext>
          </c:extLst>
        </c:ser>
        <c:ser>
          <c:idx val="2"/>
          <c:order val="2"/>
          <c:tx>
            <c:strRef>
              <c:f>'Loanable fund'!$A$17</c:f>
              <c:strCache>
                <c:ptCount val="1"/>
                <c:pt idx="0">
                  <c:v>Other sources of finance</c:v>
                </c:pt>
              </c:strCache>
            </c:strRef>
          </c:tx>
          <c:spPr>
            <a:solidFill>
              <a:schemeClr val="accent3"/>
            </a:solidFill>
            <a:ln>
              <a:noFill/>
            </a:ln>
            <a:effectLst/>
            <a:sp3d/>
          </c:spPr>
          <c:invertIfNegative val="0"/>
          <c:cat>
            <c:strRef>
              <c:f>'Loanable fund'!$B$14:$G$14</c:f>
              <c:strCache>
                <c:ptCount val="6"/>
                <c:pt idx="0">
                  <c:v> 2010/11</c:v>
                </c:pt>
                <c:pt idx="1">
                  <c:v>2011/12</c:v>
                </c:pt>
                <c:pt idx="2">
                  <c:v>2012/13</c:v>
                </c:pt>
                <c:pt idx="3">
                  <c:v>2013/14</c:v>
                </c:pt>
                <c:pt idx="4">
                  <c:v>2014/15</c:v>
                </c:pt>
                <c:pt idx="5">
                  <c:v>2015/16</c:v>
                </c:pt>
              </c:strCache>
            </c:strRef>
          </c:cat>
          <c:val>
            <c:numRef>
              <c:f>'Loanable fund'!$B$17:$G$17</c:f>
              <c:numCache>
                <c:formatCode>0.0</c:formatCode>
                <c:ptCount val="6"/>
                <c:pt idx="0">
                  <c:v>1.8262259999999999</c:v>
                </c:pt>
                <c:pt idx="1">
                  <c:v>7.9422260000000033</c:v>
                </c:pt>
                <c:pt idx="2">
                  <c:v>10.117357921</c:v>
                </c:pt>
                <c:pt idx="3">
                  <c:v>12.483007000000001</c:v>
                </c:pt>
                <c:pt idx="4">
                  <c:v>13.86995478</c:v>
                </c:pt>
                <c:pt idx="5">
                  <c:v>16.526317505049938</c:v>
                </c:pt>
              </c:numCache>
            </c:numRef>
          </c:val>
          <c:extLst>
            <c:ext xmlns:c16="http://schemas.microsoft.com/office/drawing/2014/chart" uri="{C3380CC4-5D6E-409C-BE32-E72D297353CC}">
              <c16:uniqueId val="{00000002-DCB5-4C47-849A-65A957C884C4}"/>
            </c:ext>
          </c:extLst>
        </c:ser>
        <c:ser>
          <c:idx val="3"/>
          <c:order val="3"/>
          <c:tx>
            <c:strRef>
              <c:f>'Loanable fund'!$A$18</c:f>
              <c:strCache>
                <c:ptCount val="1"/>
                <c:pt idx="0">
                  <c:v>Loanable fund</c:v>
                </c:pt>
              </c:strCache>
            </c:strRef>
          </c:tx>
          <c:spPr>
            <a:solidFill>
              <a:schemeClr val="accent4"/>
            </a:solidFill>
            <a:ln>
              <a:noFill/>
            </a:ln>
            <a:effectLst/>
            <a:sp3d/>
          </c:spPr>
          <c:invertIfNegative val="0"/>
          <c:cat>
            <c:strRef>
              <c:f>'Loanable fund'!$B$14:$G$14</c:f>
              <c:strCache>
                <c:ptCount val="6"/>
                <c:pt idx="0">
                  <c:v> 2010/11</c:v>
                </c:pt>
                <c:pt idx="1">
                  <c:v>2011/12</c:v>
                </c:pt>
                <c:pt idx="2">
                  <c:v>2012/13</c:v>
                </c:pt>
                <c:pt idx="3">
                  <c:v>2013/14</c:v>
                </c:pt>
                <c:pt idx="4">
                  <c:v>2014/15</c:v>
                </c:pt>
                <c:pt idx="5">
                  <c:v>2015/16</c:v>
                </c:pt>
              </c:strCache>
            </c:strRef>
          </c:cat>
          <c:val>
            <c:numRef>
              <c:f>'Loanable fund'!$B$18:$G$18</c:f>
              <c:numCache>
                <c:formatCode>0.0</c:formatCode>
                <c:ptCount val="6"/>
                <c:pt idx="0">
                  <c:v>51.721633367061983</c:v>
                </c:pt>
                <c:pt idx="1">
                  <c:v>79.19434398775401</c:v>
                </c:pt>
                <c:pt idx="2">
                  <c:v>91.223562120707001</c:v>
                </c:pt>
                <c:pt idx="3">
                  <c:v>108.7518926669905</c:v>
                </c:pt>
                <c:pt idx="4">
                  <c:v>134.5963249039454</c:v>
                </c:pt>
                <c:pt idx="5">
                  <c:v>157.3024895024883</c:v>
                </c:pt>
              </c:numCache>
            </c:numRef>
          </c:val>
          <c:extLst>
            <c:ext xmlns:c16="http://schemas.microsoft.com/office/drawing/2014/chart" uri="{C3380CC4-5D6E-409C-BE32-E72D297353CC}">
              <c16:uniqueId val="{00000003-DCB5-4C47-849A-65A957C884C4}"/>
            </c:ext>
          </c:extLst>
        </c:ser>
        <c:dLbls>
          <c:showLegendKey val="0"/>
          <c:showVal val="0"/>
          <c:showCatName val="0"/>
          <c:showSerName val="0"/>
          <c:showPercent val="0"/>
          <c:showBubbleSize val="0"/>
        </c:dLbls>
        <c:gapWidth val="150"/>
        <c:shape val="box"/>
        <c:axId val="-2110839656"/>
        <c:axId val="-2110892376"/>
        <c:axId val="0"/>
      </c:bar3DChart>
      <c:catAx>
        <c:axId val="-2110839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892376"/>
        <c:crosses val="autoZero"/>
        <c:auto val="1"/>
        <c:lblAlgn val="ctr"/>
        <c:lblOffset val="100"/>
        <c:noMultiLvlLbl val="0"/>
      </c:catAx>
      <c:valAx>
        <c:axId val="-211089237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839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Pension!$A$6</c:f>
              <c:strCache>
                <c:ptCount val="1"/>
                <c:pt idx="0">
                  <c:v>Pension fund </c:v>
                </c:pt>
              </c:strCache>
            </c:strRef>
          </c:tx>
          <c:spPr>
            <a:solidFill>
              <a:schemeClr val="accent1"/>
            </a:solidFill>
            <a:ln>
              <a:noFill/>
            </a:ln>
            <a:effectLst/>
            <a:sp3d/>
          </c:spPr>
          <c:invertIfNegative val="0"/>
          <c:cat>
            <c:strRef>
              <c:f>Pension!$B$5:$G$5</c:f>
              <c:strCache>
                <c:ptCount val="6"/>
                <c:pt idx="0">
                  <c:v> 2010/11</c:v>
                </c:pt>
                <c:pt idx="1">
                  <c:v>2011/12</c:v>
                </c:pt>
                <c:pt idx="2">
                  <c:v>2012/13</c:v>
                </c:pt>
                <c:pt idx="3">
                  <c:v>2013/14</c:v>
                </c:pt>
                <c:pt idx="4">
                  <c:v>2014/15</c:v>
                </c:pt>
                <c:pt idx="5">
                  <c:v>2015/16</c:v>
                </c:pt>
              </c:strCache>
            </c:strRef>
          </c:cat>
          <c:val>
            <c:numRef>
              <c:f>Pension!$B$6:$G$6</c:f>
              <c:numCache>
                <c:formatCode>0</c:formatCode>
                <c:ptCount val="6"/>
                <c:pt idx="0">
                  <c:v>2098.21</c:v>
                </c:pt>
                <c:pt idx="1">
                  <c:v>3643.8300000000022</c:v>
                </c:pt>
                <c:pt idx="2">
                  <c:v>5803.951</c:v>
                </c:pt>
                <c:pt idx="3">
                  <c:v>8365.5450000000001</c:v>
                </c:pt>
                <c:pt idx="4">
                  <c:v>9600.32</c:v>
                </c:pt>
                <c:pt idx="5">
                  <c:v>13942.38</c:v>
                </c:pt>
              </c:numCache>
            </c:numRef>
          </c:val>
          <c:extLst>
            <c:ext xmlns:c16="http://schemas.microsoft.com/office/drawing/2014/chart" uri="{C3380CC4-5D6E-409C-BE32-E72D297353CC}">
              <c16:uniqueId val="{00000000-7811-453A-A656-D22A3D336272}"/>
            </c:ext>
          </c:extLst>
        </c:ser>
        <c:ser>
          <c:idx val="1"/>
          <c:order val="1"/>
          <c:tx>
            <c:strRef>
              <c:f>Pension!$A$7</c:f>
              <c:strCache>
                <c:ptCount val="1"/>
                <c:pt idx="0">
                  <c:v>NBE bills </c:v>
                </c:pt>
              </c:strCache>
            </c:strRef>
          </c:tx>
          <c:spPr>
            <a:solidFill>
              <a:schemeClr val="accent2"/>
            </a:solidFill>
            <a:ln>
              <a:noFill/>
            </a:ln>
            <a:effectLst/>
            <a:sp3d/>
          </c:spPr>
          <c:invertIfNegative val="0"/>
          <c:cat>
            <c:strRef>
              <c:f>Pension!$B$5:$G$5</c:f>
              <c:strCache>
                <c:ptCount val="6"/>
                <c:pt idx="0">
                  <c:v> 2010/11</c:v>
                </c:pt>
                <c:pt idx="1">
                  <c:v>2011/12</c:v>
                </c:pt>
                <c:pt idx="2">
                  <c:v>2012/13</c:v>
                </c:pt>
                <c:pt idx="3">
                  <c:v>2013/14</c:v>
                </c:pt>
                <c:pt idx="4">
                  <c:v>2014/15</c:v>
                </c:pt>
                <c:pt idx="5">
                  <c:v>2015/16</c:v>
                </c:pt>
              </c:strCache>
            </c:strRef>
          </c:cat>
          <c:val>
            <c:numRef>
              <c:f>Pension!$B$7:$G$7</c:f>
              <c:numCache>
                <c:formatCode>0</c:formatCode>
                <c:ptCount val="6"/>
                <c:pt idx="1">
                  <c:v>5843.0538000000006</c:v>
                </c:pt>
                <c:pt idx="2">
                  <c:v>6480.6129000000137</c:v>
                </c:pt>
                <c:pt idx="3">
                  <c:v>7269.6663000000044</c:v>
                </c:pt>
                <c:pt idx="4">
                  <c:v>11757.64950000001</c:v>
                </c:pt>
                <c:pt idx="5">
                  <c:v>12503.29230000001</c:v>
                </c:pt>
              </c:numCache>
            </c:numRef>
          </c:val>
          <c:extLst>
            <c:ext xmlns:c16="http://schemas.microsoft.com/office/drawing/2014/chart" uri="{C3380CC4-5D6E-409C-BE32-E72D297353CC}">
              <c16:uniqueId val="{00000001-7811-453A-A656-D22A3D336272}"/>
            </c:ext>
          </c:extLst>
        </c:ser>
        <c:dLbls>
          <c:showLegendKey val="0"/>
          <c:showVal val="0"/>
          <c:showCatName val="0"/>
          <c:showSerName val="0"/>
          <c:showPercent val="0"/>
          <c:showBubbleSize val="0"/>
        </c:dLbls>
        <c:gapWidth val="150"/>
        <c:shape val="box"/>
        <c:axId val="-2110761768"/>
        <c:axId val="-2110758232"/>
        <c:axId val="0"/>
      </c:bar3DChart>
      <c:catAx>
        <c:axId val="-2110761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758232"/>
        <c:crosses val="autoZero"/>
        <c:auto val="1"/>
        <c:lblAlgn val="ctr"/>
        <c:lblOffset val="100"/>
        <c:noMultiLvlLbl val="0"/>
      </c:catAx>
      <c:valAx>
        <c:axId val="-211075823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110761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7BDF-16E9-4EB4-9D0E-7ADADA48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32813</Words>
  <Characters>187035</Characters>
  <Application>Microsoft Office Word</Application>
  <DocSecurity>4</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Tadele-PC</dc:creator>
  <cp:lastModifiedBy>Sirgut Assefa</cp:lastModifiedBy>
  <cp:revision>2</cp:revision>
  <cp:lastPrinted>2017-02-16T06:17:00Z</cp:lastPrinted>
  <dcterms:created xsi:type="dcterms:W3CDTF">2017-07-13T13:59:00Z</dcterms:created>
  <dcterms:modified xsi:type="dcterms:W3CDTF">2017-07-13T13:59:00Z</dcterms:modified>
</cp:coreProperties>
</file>